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0D" w:rsidRDefault="000547C2" w:rsidP="002B320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-155575</wp:posOffset>
            </wp:positionV>
            <wp:extent cx="7553325" cy="108394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B320D" w:rsidRDefault="002B320D" w:rsidP="002B320D">
      <w:pPr>
        <w:spacing w:after="0" w:line="240" w:lineRule="auto"/>
        <w:rPr>
          <w:sz w:val="28"/>
          <w:szCs w:val="28"/>
        </w:rPr>
      </w:pPr>
    </w:p>
    <w:p w:rsidR="002B320D" w:rsidRPr="00270EC6" w:rsidRDefault="002B320D" w:rsidP="002B320D">
      <w:pPr>
        <w:spacing w:after="0" w:line="240" w:lineRule="auto"/>
        <w:rPr>
          <w:sz w:val="40"/>
          <w:szCs w:val="28"/>
        </w:rPr>
      </w:pPr>
    </w:p>
    <w:tbl>
      <w:tblPr>
        <w:tblStyle w:val="af3"/>
        <w:tblW w:w="10064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2977"/>
      </w:tblGrid>
      <w:tr w:rsidR="009223F5" w:rsidTr="002B320D">
        <w:tc>
          <w:tcPr>
            <w:tcW w:w="7087" w:type="dxa"/>
          </w:tcPr>
          <w:p w:rsidR="009223F5" w:rsidRDefault="00FA7F27" w:rsidP="00FA7F27">
            <w:pPr>
              <w:tabs>
                <w:tab w:val="left" w:pos="4215"/>
              </w:tabs>
              <w:rPr>
                <w:sz w:val="28"/>
              </w:rPr>
            </w:pPr>
            <w:bookmarkStart w:id="0" w:name="_Toc504577372"/>
            <w:r>
              <w:rPr>
                <w:sz w:val="28"/>
              </w:rPr>
              <w:tab/>
            </w:r>
          </w:p>
        </w:tc>
        <w:tc>
          <w:tcPr>
            <w:tcW w:w="2977" w:type="dxa"/>
          </w:tcPr>
          <w:p w:rsidR="009223F5" w:rsidRDefault="009223F5" w:rsidP="009223F5">
            <w:pPr>
              <w:jc w:val="center"/>
              <w:rPr>
                <w:sz w:val="28"/>
              </w:rPr>
            </w:pPr>
            <w:r w:rsidRPr="00174429">
              <w:rPr>
                <w:rFonts w:eastAsiaTheme="minorEastAsi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3625" cy="1171575"/>
                  <wp:effectExtent l="0" t="0" r="317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3F5" w:rsidRDefault="009223F5" w:rsidP="009223F5">
            <w:pPr>
              <w:jc w:val="center"/>
              <w:rPr>
                <w:sz w:val="28"/>
              </w:rPr>
            </w:pPr>
            <w:r w:rsidRPr="009223F5">
              <w:rPr>
                <w:b/>
              </w:rPr>
              <w:t>РОСФИНМОНИТОРИНГ</w:t>
            </w:r>
          </w:p>
        </w:tc>
      </w:tr>
    </w:tbl>
    <w:p w:rsidR="009223F5" w:rsidRPr="00270EC6" w:rsidRDefault="009223F5" w:rsidP="00A47487">
      <w:pPr>
        <w:spacing w:after="0" w:line="240" w:lineRule="auto"/>
        <w:rPr>
          <w:sz w:val="10"/>
        </w:rPr>
      </w:pPr>
    </w:p>
    <w:p w:rsidR="00B1294E" w:rsidRDefault="00B1294E" w:rsidP="00816A19">
      <w:pPr>
        <w:spacing w:after="0" w:line="240" w:lineRule="auto"/>
        <w:ind w:left="1134" w:right="566"/>
        <w:rPr>
          <w:b/>
          <w:color w:val="17365D" w:themeColor="text2" w:themeShade="BF"/>
          <w:sz w:val="52"/>
        </w:rPr>
      </w:pPr>
    </w:p>
    <w:p w:rsidR="00B1294E" w:rsidRDefault="00B1294E" w:rsidP="00816A19">
      <w:pPr>
        <w:spacing w:after="0" w:line="240" w:lineRule="auto"/>
        <w:ind w:left="1134" w:right="566"/>
        <w:rPr>
          <w:b/>
          <w:color w:val="17365D" w:themeColor="text2" w:themeShade="BF"/>
          <w:sz w:val="52"/>
        </w:rPr>
      </w:pPr>
    </w:p>
    <w:p w:rsidR="009205D8" w:rsidRDefault="00AE5CAB" w:rsidP="00816A19">
      <w:pPr>
        <w:spacing w:after="0" w:line="240" w:lineRule="auto"/>
        <w:ind w:left="1134" w:right="566"/>
        <w:rPr>
          <w:b/>
          <w:color w:val="17365D" w:themeColor="text2" w:themeShade="BF"/>
          <w:sz w:val="52"/>
        </w:rPr>
      </w:pPr>
      <w:r>
        <w:rPr>
          <w:b/>
          <w:color w:val="17365D" w:themeColor="text2" w:themeShade="BF"/>
          <w:sz w:val="52"/>
        </w:rPr>
        <w:t>ОТЧЕТ О СЕКТОРАЛЬНОЙ</w:t>
      </w:r>
      <w:r w:rsidR="00816A19" w:rsidRPr="00816A19">
        <w:rPr>
          <w:b/>
          <w:color w:val="17365D" w:themeColor="text2" w:themeShade="BF"/>
          <w:sz w:val="52"/>
        </w:rPr>
        <w:t xml:space="preserve"> ОЦЕНК</w:t>
      </w:r>
      <w:r w:rsidR="001440B8">
        <w:rPr>
          <w:b/>
          <w:color w:val="17365D" w:themeColor="text2" w:themeShade="BF"/>
          <w:sz w:val="52"/>
        </w:rPr>
        <w:t>Е</w:t>
      </w:r>
      <w:r w:rsidR="00816A19" w:rsidRPr="00816A19">
        <w:rPr>
          <w:b/>
          <w:color w:val="17365D" w:themeColor="text2" w:themeShade="BF"/>
          <w:sz w:val="52"/>
        </w:rPr>
        <w:t xml:space="preserve"> РИСКОВ</w:t>
      </w:r>
      <w:r w:rsidR="009205D8">
        <w:rPr>
          <w:b/>
          <w:color w:val="17365D" w:themeColor="text2" w:themeShade="BF"/>
          <w:sz w:val="52"/>
        </w:rPr>
        <w:t xml:space="preserve"> </w:t>
      </w:r>
      <w:r w:rsidR="00816A19" w:rsidRPr="00816A19">
        <w:rPr>
          <w:b/>
          <w:color w:val="17365D" w:themeColor="text2" w:themeShade="BF"/>
          <w:sz w:val="52"/>
        </w:rPr>
        <w:t xml:space="preserve">ОТМЫВАНИЯ </w:t>
      </w:r>
    </w:p>
    <w:p w:rsidR="009205D8" w:rsidRDefault="00816A19" w:rsidP="00816A19">
      <w:pPr>
        <w:spacing w:after="0" w:line="240" w:lineRule="auto"/>
        <w:ind w:left="1134" w:right="566"/>
        <w:rPr>
          <w:b/>
          <w:color w:val="17365D" w:themeColor="text2" w:themeShade="BF"/>
          <w:sz w:val="52"/>
        </w:rPr>
      </w:pPr>
      <w:r w:rsidRPr="00816A19">
        <w:rPr>
          <w:b/>
          <w:color w:val="17365D" w:themeColor="text2" w:themeShade="BF"/>
          <w:sz w:val="52"/>
        </w:rPr>
        <w:t>(ЛЕГАЛИЗАЦИИ)</w:t>
      </w:r>
      <w:r w:rsidR="009205D8">
        <w:rPr>
          <w:b/>
          <w:color w:val="17365D" w:themeColor="text2" w:themeShade="BF"/>
          <w:sz w:val="52"/>
        </w:rPr>
        <w:t xml:space="preserve"> </w:t>
      </w:r>
      <w:r w:rsidR="00B11DA8" w:rsidRPr="00816A19">
        <w:rPr>
          <w:b/>
          <w:color w:val="17365D" w:themeColor="text2" w:themeShade="BF"/>
          <w:sz w:val="52"/>
        </w:rPr>
        <w:t>ДЕНЕЖНЫХ СРЕДС</w:t>
      </w:r>
      <w:r w:rsidRPr="00816A19">
        <w:rPr>
          <w:b/>
          <w:color w:val="17365D" w:themeColor="text2" w:themeShade="BF"/>
          <w:sz w:val="52"/>
        </w:rPr>
        <w:t>ТВ И</w:t>
      </w:r>
      <w:r w:rsidR="009205D8">
        <w:rPr>
          <w:b/>
          <w:color w:val="17365D" w:themeColor="text2" w:themeShade="BF"/>
          <w:sz w:val="52"/>
        </w:rPr>
        <w:t xml:space="preserve"> </w:t>
      </w:r>
      <w:r w:rsidRPr="00816A19">
        <w:rPr>
          <w:b/>
          <w:color w:val="17365D" w:themeColor="text2" w:themeShade="BF"/>
          <w:sz w:val="52"/>
        </w:rPr>
        <w:t>ФИНА</w:t>
      </w:r>
      <w:r w:rsidR="009C3249">
        <w:rPr>
          <w:b/>
          <w:color w:val="17365D" w:themeColor="text2" w:themeShade="BF"/>
          <w:sz w:val="52"/>
        </w:rPr>
        <w:t>Н</w:t>
      </w:r>
      <w:r w:rsidRPr="00816A19">
        <w:rPr>
          <w:b/>
          <w:color w:val="17365D" w:themeColor="text2" w:themeShade="BF"/>
          <w:sz w:val="52"/>
        </w:rPr>
        <w:t>СИРОВАНИЯ</w:t>
      </w:r>
    </w:p>
    <w:p w:rsidR="00A47487" w:rsidRPr="00816A19" w:rsidRDefault="00816A19" w:rsidP="009D7AF7">
      <w:pPr>
        <w:spacing w:after="0" w:line="240" w:lineRule="auto"/>
        <w:ind w:left="1134" w:right="566"/>
        <w:rPr>
          <w:b/>
          <w:color w:val="17365D" w:themeColor="text2" w:themeShade="BF"/>
          <w:sz w:val="56"/>
        </w:rPr>
      </w:pPr>
      <w:r w:rsidRPr="00816A19">
        <w:rPr>
          <w:b/>
          <w:color w:val="17365D" w:themeColor="text2" w:themeShade="BF"/>
          <w:sz w:val="52"/>
        </w:rPr>
        <w:t>ТЕРРОРИ</w:t>
      </w:r>
      <w:r>
        <w:rPr>
          <w:b/>
          <w:color w:val="17365D" w:themeColor="text2" w:themeShade="BF"/>
          <w:sz w:val="52"/>
        </w:rPr>
        <w:t>ЗМА</w:t>
      </w:r>
      <w:r w:rsidR="009205D8">
        <w:rPr>
          <w:b/>
          <w:color w:val="17365D" w:themeColor="text2" w:themeShade="BF"/>
          <w:sz w:val="52"/>
        </w:rPr>
        <w:t xml:space="preserve"> </w:t>
      </w:r>
      <w:bookmarkStart w:id="1" w:name="_GoBack"/>
      <w:r w:rsidRPr="00816A19">
        <w:rPr>
          <w:b/>
          <w:color w:val="17365D" w:themeColor="text2" w:themeShade="BF"/>
          <w:sz w:val="52"/>
        </w:rPr>
        <w:t xml:space="preserve">С </w:t>
      </w:r>
      <w:r w:rsidR="00A04B58">
        <w:rPr>
          <w:b/>
          <w:color w:val="17365D" w:themeColor="text2" w:themeShade="BF"/>
          <w:sz w:val="52"/>
        </w:rPr>
        <w:t xml:space="preserve">ИСПОЛЬЗОВАНИЕМ </w:t>
      </w:r>
      <w:r w:rsidR="009D7AF7">
        <w:rPr>
          <w:b/>
          <w:color w:val="17365D" w:themeColor="text2" w:themeShade="BF"/>
          <w:sz w:val="52"/>
        </w:rPr>
        <w:t xml:space="preserve">СЕКТОРА </w:t>
      </w:r>
      <w:r w:rsidR="00212A3F">
        <w:rPr>
          <w:b/>
          <w:color w:val="17365D" w:themeColor="text2" w:themeShade="BF"/>
          <w:sz w:val="52"/>
        </w:rPr>
        <w:t>РИЭЛТОРОВ</w:t>
      </w:r>
      <w:bookmarkEnd w:id="1"/>
    </w:p>
    <w:p w:rsidR="00B11DA8" w:rsidRPr="00B11DA8" w:rsidRDefault="00B11DA8" w:rsidP="0060294C">
      <w:pPr>
        <w:spacing w:after="0" w:line="240" w:lineRule="auto"/>
        <w:ind w:left="1134" w:right="1133"/>
        <w:rPr>
          <w:color w:val="17365D" w:themeColor="text2" w:themeShade="BF"/>
          <w:sz w:val="48"/>
        </w:rPr>
      </w:pPr>
    </w:p>
    <w:p w:rsidR="00B1294E" w:rsidRDefault="00491554" w:rsidP="0060294C">
      <w:pPr>
        <w:spacing w:after="0" w:line="240" w:lineRule="auto"/>
        <w:ind w:left="1134" w:right="1133"/>
        <w:rPr>
          <w:color w:val="17365D" w:themeColor="text2" w:themeShade="BF"/>
          <w:sz w:val="48"/>
        </w:rPr>
      </w:pPr>
      <w:r>
        <w:rPr>
          <w:color w:val="17365D" w:themeColor="text2" w:themeShade="BF"/>
          <w:sz w:val="48"/>
        </w:rPr>
        <w:t>П</w:t>
      </w:r>
      <w:r w:rsidR="00C00CC8">
        <w:rPr>
          <w:color w:val="17365D" w:themeColor="text2" w:themeShade="BF"/>
          <w:sz w:val="48"/>
        </w:rPr>
        <w:t>убличный</w:t>
      </w:r>
      <w:r w:rsidR="009223F5" w:rsidRPr="00B11DA8">
        <w:rPr>
          <w:color w:val="17365D" w:themeColor="text2" w:themeShade="BF"/>
          <w:sz w:val="48"/>
        </w:rPr>
        <w:t xml:space="preserve"> отчет</w:t>
      </w:r>
    </w:p>
    <w:p w:rsidR="00B1294E" w:rsidRDefault="00B1294E" w:rsidP="0060294C">
      <w:pPr>
        <w:spacing w:after="0" w:line="240" w:lineRule="auto"/>
        <w:ind w:left="1134" w:right="1133"/>
        <w:rPr>
          <w:color w:val="17365D" w:themeColor="text2" w:themeShade="BF"/>
          <w:sz w:val="48"/>
        </w:rPr>
      </w:pPr>
    </w:p>
    <w:p w:rsidR="00B1294E" w:rsidRDefault="00B1294E" w:rsidP="00B1294E">
      <w:pPr>
        <w:spacing w:after="0" w:line="240" w:lineRule="auto"/>
        <w:ind w:right="707"/>
        <w:jc w:val="right"/>
        <w:rPr>
          <w:sz w:val="28"/>
        </w:rPr>
      </w:pPr>
    </w:p>
    <w:p w:rsidR="00B1294E" w:rsidRDefault="00B1294E" w:rsidP="00B1294E">
      <w:pPr>
        <w:spacing w:after="0" w:line="240" w:lineRule="auto"/>
        <w:ind w:right="707"/>
        <w:jc w:val="right"/>
        <w:rPr>
          <w:sz w:val="28"/>
        </w:rPr>
      </w:pPr>
    </w:p>
    <w:p w:rsidR="00B1294E" w:rsidRDefault="00B1294E" w:rsidP="00B1294E">
      <w:pPr>
        <w:spacing w:after="0" w:line="240" w:lineRule="auto"/>
        <w:ind w:right="707"/>
        <w:jc w:val="right"/>
        <w:rPr>
          <w:sz w:val="28"/>
        </w:rPr>
      </w:pPr>
    </w:p>
    <w:p w:rsidR="00B11DA8" w:rsidRDefault="00B11DA8" w:rsidP="00B1294E">
      <w:pPr>
        <w:spacing w:after="0" w:line="240" w:lineRule="auto"/>
        <w:ind w:right="707"/>
        <w:jc w:val="right"/>
        <w:rPr>
          <w:sz w:val="28"/>
        </w:rPr>
      </w:pPr>
    </w:p>
    <w:p w:rsidR="00B11DA8" w:rsidRDefault="00B11DA8" w:rsidP="00A47487">
      <w:pPr>
        <w:spacing w:after="0" w:line="240" w:lineRule="auto"/>
        <w:rPr>
          <w:sz w:val="28"/>
        </w:rPr>
      </w:pPr>
    </w:p>
    <w:p w:rsidR="00B11DA8" w:rsidRDefault="00B11DA8" w:rsidP="00A47487">
      <w:pPr>
        <w:spacing w:after="0" w:line="240" w:lineRule="auto"/>
        <w:rPr>
          <w:sz w:val="28"/>
        </w:rPr>
      </w:pPr>
    </w:p>
    <w:p w:rsidR="00B11DA8" w:rsidRDefault="00B11DA8" w:rsidP="00A47487">
      <w:pPr>
        <w:spacing w:after="0" w:line="240" w:lineRule="auto"/>
        <w:rPr>
          <w:sz w:val="28"/>
        </w:rPr>
      </w:pPr>
    </w:p>
    <w:p w:rsidR="00B11DA8" w:rsidRDefault="00B11DA8" w:rsidP="00A47487">
      <w:pPr>
        <w:spacing w:after="0" w:line="240" w:lineRule="auto"/>
        <w:rPr>
          <w:sz w:val="28"/>
        </w:rPr>
      </w:pPr>
    </w:p>
    <w:p w:rsidR="00B11DA8" w:rsidRDefault="00B11DA8" w:rsidP="00A47487">
      <w:pPr>
        <w:spacing w:after="0" w:line="240" w:lineRule="auto"/>
        <w:rPr>
          <w:sz w:val="28"/>
        </w:rPr>
      </w:pPr>
    </w:p>
    <w:p w:rsidR="00B11DA8" w:rsidRDefault="00B11DA8" w:rsidP="00A47487">
      <w:pPr>
        <w:spacing w:after="0" w:line="240" w:lineRule="auto"/>
        <w:rPr>
          <w:sz w:val="28"/>
        </w:rPr>
      </w:pPr>
    </w:p>
    <w:p w:rsidR="00B11DA8" w:rsidRDefault="00B11DA8" w:rsidP="00A47487">
      <w:pPr>
        <w:spacing w:after="0" w:line="240" w:lineRule="auto"/>
        <w:rPr>
          <w:sz w:val="28"/>
        </w:rPr>
      </w:pPr>
    </w:p>
    <w:p w:rsidR="00B11DA8" w:rsidRDefault="00B11DA8" w:rsidP="00A47487">
      <w:pPr>
        <w:spacing w:after="0" w:line="240" w:lineRule="auto"/>
        <w:rPr>
          <w:sz w:val="28"/>
        </w:rPr>
      </w:pPr>
    </w:p>
    <w:p w:rsidR="00491554" w:rsidRDefault="00491554" w:rsidP="002B320D">
      <w:pPr>
        <w:spacing w:after="0" w:line="240" w:lineRule="auto"/>
        <w:ind w:right="707"/>
        <w:jc w:val="right"/>
        <w:rPr>
          <w:color w:val="17365D" w:themeColor="text2" w:themeShade="BF"/>
          <w:sz w:val="72"/>
        </w:rPr>
      </w:pPr>
    </w:p>
    <w:p w:rsidR="00491554" w:rsidRDefault="00491554" w:rsidP="002B320D">
      <w:pPr>
        <w:spacing w:after="0" w:line="240" w:lineRule="auto"/>
        <w:ind w:right="707"/>
        <w:jc w:val="right"/>
        <w:rPr>
          <w:color w:val="17365D" w:themeColor="text2" w:themeShade="BF"/>
          <w:sz w:val="72"/>
        </w:rPr>
      </w:pPr>
    </w:p>
    <w:p w:rsidR="00B11DA8" w:rsidRPr="00413D80" w:rsidRDefault="00B11DA8" w:rsidP="002B320D">
      <w:pPr>
        <w:spacing w:after="0" w:line="240" w:lineRule="auto"/>
        <w:ind w:right="707"/>
        <w:jc w:val="right"/>
        <w:rPr>
          <w:color w:val="17365D" w:themeColor="text2" w:themeShade="BF"/>
          <w:sz w:val="72"/>
        </w:rPr>
      </w:pPr>
      <w:r w:rsidRPr="00413D80">
        <w:rPr>
          <w:color w:val="17365D" w:themeColor="text2" w:themeShade="BF"/>
          <w:sz w:val="72"/>
        </w:rPr>
        <w:t>/2018</w:t>
      </w:r>
    </w:p>
    <w:p w:rsidR="00A47487" w:rsidRDefault="00A47487" w:rsidP="00A47487">
      <w:pPr>
        <w:spacing w:after="0" w:line="240" w:lineRule="auto"/>
        <w:rPr>
          <w:sz w:val="28"/>
        </w:rPr>
      </w:pPr>
    </w:p>
    <w:p w:rsidR="00A47487" w:rsidRDefault="00A47487" w:rsidP="00A47487">
      <w:pPr>
        <w:spacing w:after="0" w:line="240" w:lineRule="auto"/>
        <w:rPr>
          <w:sz w:val="28"/>
        </w:rPr>
        <w:sectPr w:rsidR="00A47487" w:rsidSect="002B320D">
          <w:footerReference w:type="even" r:id="rId11"/>
          <w:footerReference w:type="default" r:id="rId12"/>
          <w:footerReference w:type="first" r:id="rId13"/>
          <w:pgSz w:w="11906" w:h="16838"/>
          <w:pgMar w:top="0" w:right="0" w:bottom="0" w:left="0" w:header="0" w:footer="0" w:gutter="0"/>
          <w:cols w:space="708"/>
          <w:titlePg/>
          <w:docGrid w:linePitch="360"/>
        </w:sectPr>
      </w:pPr>
    </w:p>
    <w:p w:rsidR="005C1E29" w:rsidRDefault="005C1E29" w:rsidP="00A47487">
      <w:pPr>
        <w:spacing w:after="0" w:line="240" w:lineRule="auto"/>
        <w:rPr>
          <w:sz w:val="28"/>
        </w:rPr>
      </w:pPr>
    </w:p>
    <w:p w:rsidR="005C1E29" w:rsidRDefault="005C1E29" w:rsidP="00A47487">
      <w:pPr>
        <w:spacing w:after="0" w:line="240" w:lineRule="auto"/>
        <w:rPr>
          <w:sz w:val="28"/>
        </w:rPr>
      </w:pPr>
    </w:p>
    <w:p w:rsidR="005C1E29" w:rsidRDefault="005C1E29" w:rsidP="00A47487">
      <w:pPr>
        <w:spacing w:after="0" w:line="240" w:lineRule="auto"/>
        <w:rPr>
          <w:sz w:val="28"/>
        </w:rPr>
      </w:pPr>
    </w:p>
    <w:p w:rsidR="005C1E29" w:rsidRDefault="005C1E29" w:rsidP="00A47487">
      <w:pPr>
        <w:spacing w:after="0" w:line="240" w:lineRule="auto"/>
        <w:rPr>
          <w:sz w:val="28"/>
        </w:rPr>
      </w:pPr>
    </w:p>
    <w:p w:rsidR="005C1E29" w:rsidRDefault="005C1E29" w:rsidP="00A47487">
      <w:pPr>
        <w:spacing w:after="0" w:line="240" w:lineRule="auto"/>
        <w:rPr>
          <w:sz w:val="28"/>
        </w:rPr>
      </w:pPr>
    </w:p>
    <w:p w:rsidR="005C1E29" w:rsidRDefault="005C1E29" w:rsidP="00A47487">
      <w:pPr>
        <w:spacing w:after="0" w:line="240" w:lineRule="auto"/>
        <w:rPr>
          <w:sz w:val="28"/>
        </w:rPr>
      </w:pPr>
    </w:p>
    <w:p w:rsidR="005C1E29" w:rsidRDefault="005C1E29" w:rsidP="005C1E29">
      <w:pPr>
        <w:spacing w:after="0" w:line="240" w:lineRule="auto"/>
        <w:ind w:right="-2"/>
        <w:rPr>
          <w:sz w:val="28"/>
        </w:rPr>
      </w:pPr>
    </w:p>
    <w:p w:rsidR="007528B4" w:rsidRPr="007150DF" w:rsidRDefault="007528B4" w:rsidP="00325549">
      <w:pPr>
        <w:spacing w:after="0" w:line="360" w:lineRule="auto"/>
        <w:ind w:left="1134" w:right="1134"/>
        <w:rPr>
          <w:color w:val="17365D" w:themeColor="text2" w:themeShade="BF"/>
          <w:sz w:val="24"/>
          <w:szCs w:val="24"/>
        </w:rPr>
      </w:pPr>
    </w:p>
    <w:p w:rsidR="005C1E29" w:rsidRDefault="005C1E29">
      <w:pPr>
        <w:rPr>
          <w:sz w:val="28"/>
        </w:rPr>
      </w:pPr>
    </w:p>
    <w:p w:rsidR="00E02AE2" w:rsidRDefault="00E02AE2">
      <w:pPr>
        <w:rPr>
          <w:sz w:val="28"/>
        </w:rPr>
      </w:pPr>
    </w:p>
    <w:tbl>
      <w:tblPr>
        <w:tblStyle w:val="af3"/>
        <w:tblW w:w="9356" w:type="dxa"/>
        <w:tblInd w:w="704" w:type="dxa"/>
        <w:tblLook w:val="04A0" w:firstRow="1" w:lastRow="0" w:firstColumn="1" w:lastColumn="0" w:noHBand="0" w:noVBand="1"/>
      </w:tblPr>
      <w:tblGrid>
        <w:gridCol w:w="8222"/>
        <w:gridCol w:w="1134"/>
      </w:tblGrid>
      <w:tr w:rsidR="00E02AE2" w:rsidRPr="00B1294E" w:rsidTr="00222E25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AE2" w:rsidRPr="00E02AE2" w:rsidRDefault="00E02AE2" w:rsidP="00E02AE2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E02AE2" w:rsidRPr="00B1294E" w:rsidRDefault="00E02AE2" w:rsidP="00E02AE2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 w:rsidRPr="00B1294E">
              <w:rPr>
                <w:b/>
                <w:color w:val="365F91" w:themeColor="accent1" w:themeShade="BF"/>
                <w:sz w:val="32"/>
                <w:szCs w:val="32"/>
              </w:rPr>
              <w:t>СОДЕРЖАНИЕ</w:t>
            </w:r>
          </w:p>
          <w:p w:rsidR="00E02AE2" w:rsidRPr="00B1294E" w:rsidRDefault="00E02AE2" w:rsidP="00E02AE2">
            <w:pPr>
              <w:jc w:val="center"/>
              <w:rPr>
                <w:color w:val="365F91" w:themeColor="accent1" w:themeShade="BF"/>
                <w:sz w:val="28"/>
              </w:rPr>
            </w:pPr>
          </w:p>
        </w:tc>
      </w:tr>
      <w:tr w:rsidR="00E02AE2" w:rsidRPr="00B1294E" w:rsidTr="00222E25">
        <w:tc>
          <w:tcPr>
            <w:tcW w:w="822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E02AE2" w:rsidRPr="00B1294E" w:rsidRDefault="00E02AE2" w:rsidP="00E02AE2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 w:rsidRPr="00B1294E">
              <w:rPr>
                <w:b/>
                <w:color w:val="365F91" w:themeColor="accent1" w:themeShade="BF"/>
                <w:sz w:val="28"/>
              </w:rPr>
              <w:t>Наименование Раздела</w:t>
            </w:r>
          </w:p>
          <w:p w:rsidR="00222E25" w:rsidRPr="00B1294E" w:rsidRDefault="00222E25" w:rsidP="00E02AE2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E02AE2" w:rsidRPr="00B1294E" w:rsidRDefault="00E02AE2" w:rsidP="00E02AE2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 w:rsidRPr="00B1294E">
              <w:rPr>
                <w:b/>
                <w:color w:val="365F91" w:themeColor="accent1" w:themeShade="BF"/>
                <w:sz w:val="28"/>
              </w:rPr>
              <w:t>№ стр.</w:t>
            </w:r>
          </w:p>
        </w:tc>
      </w:tr>
      <w:tr w:rsidR="00E02AE2" w:rsidRPr="00B1294E" w:rsidTr="00222E25">
        <w:tc>
          <w:tcPr>
            <w:tcW w:w="8222" w:type="dxa"/>
            <w:tcBorders>
              <w:top w:val="single" w:sz="4" w:space="0" w:color="17365D" w:themeColor="text2" w:themeShade="BF"/>
            </w:tcBorders>
            <w:shd w:val="clear" w:color="auto" w:fill="DBE5F1" w:themeFill="accent1" w:themeFillTint="33"/>
          </w:tcPr>
          <w:p w:rsidR="00E02AE2" w:rsidRPr="00B1294E" w:rsidRDefault="00E02AE2" w:rsidP="00E02AE2">
            <w:pPr>
              <w:rPr>
                <w:color w:val="365F91" w:themeColor="accent1" w:themeShade="BF"/>
                <w:sz w:val="28"/>
              </w:rPr>
            </w:pPr>
            <w:r w:rsidRPr="00B1294E">
              <w:rPr>
                <w:color w:val="365F91" w:themeColor="accent1" w:themeShade="BF"/>
                <w:sz w:val="28"/>
              </w:rPr>
              <w:t>Общая характеристика сектора</w:t>
            </w:r>
          </w:p>
          <w:p w:rsidR="00222E25" w:rsidRPr="00B1294E" w:rsidRDefault="00222E25" w:rsidP="00E02AE2">
            <w:pPr>
              <w:rPr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B1294E" w:rsidRDefault="00E02AE2" w:rsidP="00E02AE2">
            <w:pPr>
              <w:jc w:val="center"/>
              <w:rPr>
                <w:color w:val="365F91" w:themeColor="accent1" w:themeShade="BF"/>
                <w:sz w:val="28"/>
              </w:rPr>
            </w:pPr>
            <w:r w:rsidRPr="00B1294E">
              <w:rPr>
                <w:color w:val="365F91" w:themeColor="accent1" w:themeShade="BF"/>
                <w:sz w:val="28"/>
              </w:rPr>
              <w:t>3</w:t>
            </w:r>
          </w:p>
        </w:tc>
      </w:tr>
      <w:tr w:rsidR="00E02AE2" w:rsidRPr="00B1294E" w:rsidTr="00EF2FE6">
        <w:tc>
          <w:tcPr>
            <w:tcW w:w="8222" w:type="dxa"/>
            <w:shd w:val="clear" w:color="auto" w:fill="DBE5F1" w:themeFill="accent1" w:themeFillTint="33"/>
          </w:tcPr>
          <w:p w:rsidR="00E02AE2" w:rsidRPr="00B1294E" w:rsidRDefault="00E02AE2">
            <w:pPr>
              <w:rPr>
                <w:color w:val="365F91" w:themeColor="accent1" w:themeShade="BF"/>
                <w:sz w:val="28"/>
              </w:rPr>
            </w:pPr>
            <w:r w:rsidRPr="00B1294E">
              <w:rPr>
                <w:color w:val="365F91" w:themeColor="accent1" w:themeShade="BF"/>
                <w:sz w:val="28"/>
              </w:rPr>
              <w:t>Характеристика угроз</w:t>
            </w:r>
          </w:p>
          <w:p w:rsidR="00222E25" w:rsidRPr="00B1294E" w:rsidRDefault="00222E25">
            <w:pPr>
              <w:rPr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B1294E" w:rsidRDefault="002C456B" w:rsidP="00E02AE2">
            <w:pPr>
              <w:jc w:val="center"/>
              <w:rPr>
                <w:color w:val="365F91" w:themeColor="accent1" w:themeShade="BF"/>
                <w:sz w:val="28"/>
              </w:rPr>
            </w:pPr>
            <w:r>
              <w:rPr>
                <w:color w:val="365F91" w:themeColor="accent1" w:themeShade="BF"/>
                <w:sz w:val="28"/>
              </w:rPr>
              <w:t>5</w:t>
            </w:r>
          </w:p>
        </w:tc>
      </w:tr>
      <w:tr w:rsidR="00E02AE2" w:rsidRPr="00B1294E" w:rsidTr="00EF2FE6">
        <w:tc>
          <w:tcPr>
            <w:tcW w:w="8222" w:type="dxa"/>
            <w:shd w:val="clear" w:color="auto" w:fill="DBE5F1" w:themeFill="accent1" w:themeFillTint="33"/>
          </w:tcPr>
          <w:p w:rsidR="00E02AE2" w:rsidRPr="00B1294E" w:rsidRDefault="00E02AE2">
            <w:pPr>
              <w:rPr>
                <w:color w:val="365F91" w:themeColor="accent1" w:themeShade="BF"/>
                <w:sz w:val="28"/>
              </w:rPr>
            </w:pPr>
            <w:r w:rsidRPr="00B1294E">
              <w:rPr>
                <w:color w:val="365F91" w:themeColor="accent1" w:themeShade="BF"/>
                <w:sz w:val="28"/>
              </w:rPr>
              <w:t>Характеристика уязвимостей</w:t>
            </w:r>
          </w:p>
          <w:p w:rsidR="00222E25" w:rsidRPr="00B1294E" w:rsidRDefault="00222E25">
            <w:pPr>
              <w:rPr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B1294E" w:rsidRDefault="00CA3C59" w:rsidP="00E02AE2">
            <w:pPr>
              <w:jc w:val="center"/>
              <w:rPr>
                <w:color w:val="365F91" w:themeColor="accent1" w:themeShade="BF"/>
                <w:sz w:val="28"/>
              </w:rPr>
            </w:pPr>
            <w:r>
              <w:rPr>
                <w:color w:val="365F91" w:themeColor="accent1" w:themeShade="BF"/>
                <w:sz w:val="28"/>
              </w:rPr>
              <w:t>7</w:t>
            </w:r>
          </w:p>
        </w:tc>
      </w:tr>
      <w:tr w:rsidR="00E02AE2" w:rsidRPr="00B1294E" w:rsidTr="00EF2FE6">
        <w:tc>
          <w:tcPr>
            <w:tcW w:w="8222" w:type="dxa"/>
            <w:shd w:val="clear" w:color="auto" w:fill="DBE5F1" w:themeFill="accent1" w:themeFillTint="33"/>
          </w:tcPr>
          <w:p w:rsidR="00E02AE2" w:rsidRPr="00B1294E" w:rsidRDefault="00E02AE2">
            <w:pPr>
              <w:rPr>
                <w:color w:val="365F91" w:themeColor="accent1" w:themeShade="BF"/>
                <w:sz w:val="28"/>
              </w:rPr>
            </w:pPr>
            <w:r w:rsidRPr="00B1294E">
              <w:rPr>
                <w:color w:val="365F91" w:themeColor="accent1" w:themeShade="BF"/>
                <w:sz w:val="28"/>
              </w:rPr>
              <w:t>Уровень риска использования сектора в схемах ОД/ФТ</w:t>
            </w:r>
          </w:p>
          <w:p w:rsidR="00222E25" w:rsidRPr="00B1294E" w:rsidRDefault="00222E25">
            <w:pPr>
              <w:rPr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B1294E" w:rsidRDefault="00CA3C59" w:rsidP="00E02AE2">
            <w:pPr>
              <w:jc w:val="center"/>
              <w:rPr>
                <w:color w:val="365F91" w:themeColor="accent1" w:themeShade="BF"/>
                <w:sz w:val="28"/>
              </w:rPr>
            </w:pPr>
            <w:r>
              <w:rPr>
                <w:color w:val="365F91" w:themeColor="accent1" w:themeShade="BF"/>
                <w:sz w:val="28"/>
              </w:rPr>
              <w:t>9</w:t>
            </w:r>
          </w:p>
        </w:tc>
      </w:tr>
      <w:tr w:rsidR="00E02AE2" w:rsidTr="00EF2FE6">
        <w:tc>
          <w:tcPr>
            <w:tcW w:w="8222" w:type="dxa"/>
            <w:shd w:val="clear" w:color="auto" w:fill="DBE5F1" w:themeFill="accent1" w:themeFillTint="33"/>
          </w:tcPr>
          <w:p w:rsidR="00E02AE2" w:rsidRPr="00B1294E" w:rsidRDefault="00E02AE2">
            <w:pPr>
              <w:rPr>
                <w:color w:val="365F91" w:themeColor="accent1" w:themeShade="BF"/>
                <w:sz w:val="28"/>
              </w:rPr>
            </w:pPr>
            <w:r w:rsidRPr="00B1294E">
              <w:rPr>
                <w:color w:val="365F91" w:themeColor="accent1" w:themeShade="BF"/>
                <w:sz w:val="28"/>
              </w:rPr>
              <w:t>Меры по снижению рисков</w:t>
            </w:r>
          </w:p>
          <w:p w:rsidR="00222E25" w:rsidRPr="00B1294E" w:rsidRDefault="00222E25">
            <w:pPr>
              <w:rPr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E02AE2" w:rsidRDefault="00E930DD" w:rsidP="00CA3C59">
            <w:pPr>
              <w:jc w:val="center"/>
              <w:rPr>
                <w:color w:val="365F91" w:themeColor="accent1" w:themeShade="BF"/>
                <w:sz w:val="28"/>
              </w:rPr>
            </w:pPr>
            <w:r w:rsidRPr="00B1294E">
              <w:rPr>
                <w:color w:val="365F91" w:themeColor="accent1" w:themeShade="BF"/>
                <w:sz w:val="28"/>
              </w:rPr>
              <w:t>1</w:t>
            </w:r>
            <w:r w:rsidR="00CA3C59">
              <w:rPr>
                <w:color w:val="365F91" w:themeColor="accent1" w:themeShade="BF"/>
                <w:sz w:val="28"/>
              </w:rPr>
              <w:t>0</w:t>
            </w:r>
          </w:p>
        </w:tc>
      </w:tr>
    </w:tbl>
    <w:p w:rsidR="00E02AE2" w:rsidRDefault="00E02AE2">
      <w:pPr>
        <w:rPr>
          <w:sz w:val="28"/>
        </w:rPr>
        <w:sectPr w:rsidR="00E02AE2" w:rsidSect="00E43923"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1" w:bottom="851" w:left="1134" w:header="0" w:footer="397" w:gutter="0"/>
          <w:cols w:space="708"/>
          <w:docGrid w:linePitch="360"/>
        </w:sectPr>
      </w:pPr>
    </w:p>
    <w:bookmarkEnd w:id="0"/>
    <w:p w:rsidR="00D83274" w:rsidRPr="00E607CF" w:rsidRDefault="00E43923" w:rsidP="00D83274">
      <w:pPr>
        <w:spacing w:after="0" w:line="240" w:lineRule="auto"/>
        <w:jc w:val="both"/>
        <w:rPr>
          <w:i/>
          <w:sz w:val="24"/>
          <w:szCs w:val="24"/>
        </w:rPr>
      </w:pPr>
      <w:r w:rsidRPr="00E607CF">
        <w:rPr>
          <w:b/>
          <w:i/>
          <w:color w:val="365F91" w:themeColor="accent1" w:themeShade="BF"/>
          <w:sz w:val="24"/>
          <w:szCs w:val="24"/>
        </w:rPr>
        <w:lastRenderedPageBreak/>
        <w:t>О</w:t>
      </w:r>
      <w:r w:rsidRPr="00E607CF">
        <w:rPr>
          <w:b/>
          <w:i/>
          <w:caps/>
          <w:color w:val="365F91" w:themeColor="accent1" w:themeShade="BF"/>
          <w:sz w:val="24"/>
          <w:szCs w:val="24"/>
        </w:rPr>
        <w:t>бщая характеристика сектора</w:t>
      </w:r>
    </w:p>
    <w:p w:rsidR="0033656B" w:rsidRDefault="0033656B" w:rsidP="00D83274">
      <w:pPr>
        <w:spacing w:after="0" w:line="240" w:lineRule="auto"/>
        <w:jc w:val="both"/>
        <w:rPr>
          <w:sz w:val="32"/>
          <w:szCs w:val="32"/>
        </w:rPr>
        <w:sectPr w:rsidR="0033656B" w:rsidSect="00AC6D7D">
          <w:pgSz w:w="11906" w:h="16838"/>
          <w:pgMar w:top="851" w:right="851" w:bottom="851" w:left="1134" w:header="0" w:footer="454" w:gutter="0"/>
          <w:cols w:space="708"/>
          <w:docGrid w:linePitch="360"/>
        </w:sectPr>
      </w:pPr>
    </w:p>
    <w:p w:rsidR="00AC6D7D" w:rsidRPr="0033656B" w:rsidRDefault="00AC6D7D" w:rsidP="0033656B">
      <w:pPr>
        <w:spacing w:after="0" w:line="240" w:lineRule="auto"/>
        <w:jc w:val="both"/>
      </w:pPr>
    </w:p>
    <w:p w:rsidR="00F5545B" w:rsidRDefault="00F5545B" w:rsidP="00212A3F">
      <w:pPr>
        <w:pStyle w:val="Default"/>
        <w:jc w:val="both"/>
        <w:rPr>
          <w:color w:val="000000" w:themeColor="text1"/>
        </w:rPr>
        <w:sectPr w:rsidR="00F5545B" w:rsidSect="0033656B">
          <w:type w:val="continuous"/>
          <w:pgSz w:w="11906" w:h="16838"/>
          <w:pgMar w:top="851" w:right="851" w:bottom="851" w:left="1134" w:header="0" w:footer="454" w:gutter="0"/>
          <w:cols w:num="2" w:space="708"/>
          <w:docGrid w:linePitch="360"/>
        </w:sectPr>
      </w:pPr>
    </w:p>
    <w:p w:rsidR="00043872" w:rsidRPr="009205D8" w:rsidRDefault="00043872" w:rsidP="0004387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205D8">
        <w:rPr>
          <w:sz w:val="22"/>
          <w:szCs w:val="22"/>
        </w:rPr>
        <w:t>Под оказанием посреднических услуг при осуществлении сделок купли-продажи недвижимого имущества понимаются такие виды посредничества, когда организация и индивидуальный предприниматель выступает от имени и по поручению участника сделки с недвижимым имуществом, непосредственно участвует в такой сделке и, соответственно, самостоятельно (но в интересах представляемого) осуществляет операции с денежными средствами или названным подконтрольным имуществом.</w:t>
      </w:r>
    </w:p>
    <w:p w:rsidR="00043872" w:rsidRPr="009205D8" w:rsidRDefault="00043872" w:rsidP="0004387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043872" w:rsidRPr="009205D8" w:rsidRDefault="00043872" w:rsidP="00043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205D8">
        <w:rPr>
          <w:sz w:val="22"/>
          <w:szCs w:val="22"/>
        </w:rPr>
        <w:t xml:space="preserve">К </w:t>
      </w:r>
      <w:r w:rsidR="009862E9">
        <w:rPr>
          <w:sz w:val="22"/>
          <w:szCs w:val="22"/>
        </w:rPr>
        <w:t xml:space="preserve">субъектам сектора </w:t>
      </w:r>
      <w:r w:rsidRPr="009205D8">
        <w:rPr>
          <w:sz w:val="22"/>
          <w:szCs w:val="22"/>
        </w:rPr>
        <w:t xml:space="preserve">следует относить и агентов по операциям с недвижимостью, осуществляющих подбор вариантов объектов недвижимости </w:t>
      </w:r>
      <w:r w:rsidRPr="009205D8">
        <w:rPr>
          <w:sz w:val="22"/>
          <w:szCs w:val="22"/>
        </w:rPr>
        <w:t>для их последующей купли-продажи, помощь в заключении клиентами сделок по купле-продаже объектов недвижимости, организации продажи объектов недвижимости по поручению данных лиц.</w:t>
      </w:r>
    </w:p>
    <w:p w:rsidR="00043872" w:rsidRPr="009205D8" w:rsidRDefault="00043872" w:rsidP="00043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043872" w:rsidRDefault="00212A3F" w:rsidP="00043872">
      <w:pPr>
        <w:pStyle w:val="Default"/>
        <w:jc w:val="both"/>
        <w:rPr>
          <w:sz w:val="22"/>
          <w:szCs w:val="22"/>
        </w:rPr>
      </w:pPr>
      <w:r w:rsidRPr="009205D8">
        <w:rPr>
          <w:color w:val="000000" w:themeColor="text1"/>
          <w:sz w:val="22"/>
          <w:szCs w:val="22"/>
        </w:rPr>
        <w:t xml:space="preserve">В настоящее время сектор представлен более             </w:t>
      </w:r>
      <w:r w:rsidR="00F5545B" w:rsidRPr="009205D8">
        <w:rPr>
          <w:color w:val="000000" w:themeColor="text1"/>
          <w:sz w:val="22"/>
          <w:szCs w:val="22"/>
        </w:rPr>
        <w:t>10</w:t>
      </w:r>
      <w:r w:rsidRPr="009205D8">
        <w:rPr>
          <w:color w:val="000000" w:themeColor="text1"/>
          <w:sz w:val="22"/>
          <w:szCs w:val="22"/>
        </w:rPr>
        <w:t xml:space="preserve"> тыс. субъектов, </w:t>
      </w:r>
      <w:r w:rsidR="00F5545B" w:rsidRPr="009205D8">
        <w:rPr>
          <w:color w:val="000000" w:themeColor="text1"/>
          <w:sz w:val="22"/>
          <w:szCs w:val="22"/>
        </w:rPr>
        <w:t>оказывающих</w:t>
      </w:r>
      <w:r w:rsidRPr="009205D8">
        <w:rPr>
          <w:color w:val="000000" w:themeColor="text1"/>
          <w:sz w:val="22"/>
          <w:szCs w:val="22"/>
        </w:rPr>
        <w:t xml:space="preserve"> </w:t>
      </w:r>
      <w:r w:rsidR="00F5545B" w:rsidRPr="009205D8">
        <w:rPr>
          <w:color w:val="000000" w:themeColor="text1"/>
          <w:sz w:val="22"/>
          <w:szCs w:val="22"/>
        </w:rPr>
        <w:t>п</w:t>
      </w:r>
      <w:r w:rsidRPr="009205D8">
        <w:rPr>
          <w:sz w:val="22"/>
          <w:szCs w:val="22"/>
        </w:rPr>
        <w:t>осред</w:t>
      </w:r>
      <w:r w:rsidR="00F5545B" w:rsidRPr="009205D8">
        <w:rPr>
          <w:sz w:val="22"/>
          <w:szCs w:val="22"/>
        </w:rPr>
        <w:t>нические</w:t>
      </w:r>
      <w:r w:rsidRPr="009205D8">
        <w:rPr>
          <w:sz w:val="22"/>
          <w:szCs w:val="22"/>
        </w:rPr>
        <w:t xml:space="preserve"> услуг</w:t>
      </w:r>
      <w:r w:rsidR="00F5545B" w:rsidRPr="009205D8">
        <w:rPr>
          <w:sz w:val="22"/>
          <w:szCs w:val="22"/>
        </w:rPr>
        <w:t>и</w:t>
      </w:r>
      <w:r w:rsidRPr="009205D8">
        <w:rPr>
          <w:sz w:val="22"/>
          <w:szCs w:val="22"/>
        </w:rPr>
        <w:t xml:space="preserve"> при осуществлении сделок купли-продажи недвижимого имущества</w:t>
      </w:r>
      <w:r w:rsidR="009D7525" w:rsidRPr="009205D8">
        <w:rPr>
          <w:sz w:val="22"/>
          <w:szCs w:val="22"/>
        </w:rPr>
        <w:t xml:space="preserve"> (далее – риэлторы).</w:t>
      </w:r>
      <w:r w:rsidR="009862E9">
        <w:rPr>
          <w:sz w:val="22"/>
          <w:szCs w:val="22"/>
        </w:rPr>
        <w:t xml:space="preserve"> </w:t>
      </w:r>
      <w:r w:rsidR="000C2561">
        <w:rPr>
          <w:sz w:val="22"/>
          <w:szCs w:val="22"/>
        </w:rPr>
        <w:t xml:space="preserve">                                                                                   </w:t>
      </w:r>
    </w:p>
    <w:p w:rsidR="009862E9" w:rsidRPr="009205D8" w:rsidRDefault="009862E9" w:rsidP="00043872">
      <w:pPr>
        <w:pStyle w:val="Default"/>
        <w:jc w:val="both"/>
        <w:rPr>
          <w:sz w:val="22"/>
          <w:szCs w:val="22"/>
        </w:rPr>
      </w:pPr>
    </w:p>
    <w:p w:rsidR="00F5545B" w:rsidRPr="009205D8" w:rsidRDefault="00F5545B" w:rsidP="00212A3F">
      <w:pPr>
        <w:pStyle w:val="Default"/>
        <w:jc w:val="both"/>
        <w:rPr>
          <w:sz w:val="22"/>
          <w:szCs w:val="22"/>
        </w:rPr>
      </w:pPr>
      <w:r w:rsidRPr="009205D8">
        <w:rPr>
          <w:color w:val="000000" w:themeColor="text1"/>
          <w:sz w:val="22"/>
          <w:szCs w:val="22"/>
        </w:rPr>
        <w:t xml:space="preserve">Наибольшая доля субъектов сектора приходится на </w:t>
      </w:r>
      <w:r w:rsidRPr="009205D8">
        <w:rPr>
          <w:sz w:val="22"/>
          <w:szCs w:val="22"/>
        </w:rPr>
        <w:t>Центральный федеральный округ –</w:t>
      </w:r>
      <w:r w:rsidR="009D7525" w:rsidRPr="009205D8">
        <w:rPr>
          <w:sz w:val="22"/>
          <w:szCs w:val="22"/>
        </w:rPr>
        <w:t xml:space="preserve"> 21</w:t>
      </w:r>
      <w:r w:rsidRPr="009205D8">
        <w:rPr>
          <w:sz w:val="22"/>
          <w:szCs w:val="22"/>
        </w:rPr>
        <w:t>%</w:t>
      </w:r>
      <w:r w:rsidR="00F901D4" w:rsidRPr="009205D8">
        <w:rPr>
          <w:sz w:val="22"/>
          <w:szCs w:val="22"/>
        </w:rPr>
        <w:t>.</w:t>
      </w:r>
    </w:p>
    <w:p w:rsidR="00F901D4" w:rsidRDefault="00F901D4" w:rsidP="00212A3F">
      <w:pPr>
        <w:pStyle w:val="Default"/>
        <w:jc w:val="both"/>
        <w:rPr>
          <w:sz w:val="22"/>
          <w:szCs w:val="22"/>
        </w:rPr>
      </w:pPr>
    </w:p>
    <w:p w:rsidR="00F901D4" w:rsidRDefault="00F901D4" w:rsidP="00212A3F">
      <w:pPr>
        <w:pStyle w:val="Default"/>
        <w:jc w:val="both"/>
        <w:rPr>
          <w:sz w:val="22"/>
          <w:szCs w:val="22"/>
        </w:rPr>
        <w:sectPr w:rsidR="00F901D4" w:rsidSect="0033656B">
          <w:type w:val="continuous"/>
          <w:pgSz w:w="11906" w:h="16838"/>
          <w:pgMar w:top="851" w:right="851" w:bottom="851" w:left="1134" w:header="0" w:footer="454" w:gutter="0"/>
          <w:cols w:num="2" w:space="708"/>
          <w:docGrid w:linePitch="360"/>
        </w:sectPr>
      </w:pPr>
    </w:p>
    <w:p w:rsidR="00F5545B" w:rsidRDefault="00F5545B" w:rsidP="00212A3F">
      <w:pPr>
        <w:pStyle w:val="Default"/>
        <w:jc w:val="both"/>
        <w:rPr>
          <w:sz w:val="22"/>
          <w:szCs w:val="22"/>
        </w:rPr>
        <w:sectPr w:rsidR="00F5545B" w:rsidSect="00F5545B">
          <w:type w:val="continuous"/>
          <w:pgSz w:w="11906" w:h="16838"/>
          <w:pgMar w:top="851" w:right="851" w:bottom="851" w:left="1134" w:header="0" w:footer="454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59233331" wp14:editId="366FB365">
            <wp:extent cx="6542405" cy="2162175"/>
            <wp:effectExtent l="0" t="0" r="1079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5545B" w:rsidRDefault="00F5545B" w:rsidP="00212A3F">
      <w:pPr>
        <w:pStyle w:val="Default"/>
        <w:jc w:val="both"/>
        <w:rPr>
          <w:sz w:val="22"/>
          <w:szCs w:val="22"/>
        </w:rPr>
      </w:pPr>
    </w:p>
    <w:p w:rsidR="00404976" w:rsidRDefault="00404976" w:rsidP="009D7525">
      <w:pPr>
        <w:spacing w:after="0" w:line="240" w:lineRule="auto"/>
        <w:jc w:val="both"/>
        <w:rPr>
          <w:szCs w:val="24"/>
        </w:rPr>
        <w:sectPr w:rsidR="00404976" w:rsidSect="0033656B">
          <w:type w:val="continuous"/>
          <w:pgSz w:w="11906" w:h="16838"/>
          <w:pgMar w:top="851" w:right="851" w:bottom="851" w:left="1134" w:header="0" w:footer="454" w:gutter="0"/>
          <w:cols w:num="2" w:space="708"/>
          <w:docGrid w:linePitch="360"/>
        </w:sectPr>
      </w:pPr>
    </w:p>
    <w:p w:rsidR="00B920A7" w:rsidRPr="00F901D4" w:rsidRDefault="00B920A7" w:rsidP="00B920A7">
      <w:pPr>
        <w:spacing w:after="0" w:line="240" w:lineRule="auto"/>
        <w:jc w:val="both"/>
        <w:rPr>
          <w:color w:val="000000" w:themeColor="text1"/>
          <w:sz w:val="22"/>
          <w:szCs w:val="22"/>
        </w:rPr>
      </w:pPr>
      <w:r w:rsidRPr="00F901D4">
        <w:rPr>
          <w:color w:val="000000" w:themeColor="text1"/>
          <w:sz w:val="22"/>
          <w:szCs w:val="22"/>
        </w:rPr>
        <w:t>Сектор риэлторов неоднороден по специфике деятельности и масштабам бизнеса, что отражается на существенных различиях в уровнях риска использования сегментов сектора в схемах ОД/ФТ.</w:t>
      </w:r>
    </w:p>
    <w:p w:rsidR="00B920A7" w:rsidRPr="00F901D4" w:rsidRDefault="00B920A7" w:rsidP="00B920A7">
      <w:pPr>
        <w:spacing w:after="0" w:line="240" w:lineRule="auto"/>
        <w:jc w:val="both"/>
        <w:rPr>
          <w:color w:val="000000" w:themeColor="text1"/>
          <w:sz w:val="22"/>
          <w:szCs w:val="22"/>
        </w:rPr>
      </w:pPr>
    </w:p>
    <w:p w:rsidR="00F5545B" w:rsidRPr="00F901D4" w:rsidRDefault="009D7525" w:rsidP="00404976">
      <w:pPr>
        <w:spacing w:after="0" w:line="240" w:lineRule="auto"/>
        <w:jc w:val="both"/>
        <w:rPr>
          <w:sz w:val="22"/>
          <w:szCs w:val="22"/>
        </w:rPr>
      </w:pPr>
      <w:r w:rsidRPr="00F901D4">
        <w:rPr>
          <w:sz w:val="22"/>
          <w:szCs w:val="22"/>
        </w:rPr>
        <w:t>В зависимости от формы осуществления предпринимательской деятельности риэлторы подразделяются на организации (юридические лица) и индивидуальных предпринимателей (далее – ИП)</w:t>
      </w:r>
      <w:r w:rsidR="00B920A7" w:rsidRPr="00F901D4">
        <w:rPr>
          <w:sz w:val="22"/>
          <w:szCs w:val="22"/>
        </w:rPr>
        <w:t>.</w:t>
      </w:r>
      <w:r w:rsidR="008251DC">
        <w:rPr>
          <w:sz w:val="22"/>
          <w:szCs w:val="22"/>
        </w:rPr>
        <w:t xml:space="preserve"> </w:t>
      </w:r>
      <w:r w:rsidRPr="00F901D4">
        <w:rPr>
          <w:sz w:val="22"/>
          <w:szCs w:val="22"/>
        </w:rPr>
        <w:t>На индивидуальных предпринимателей приходится около 1/3 от общего числа риэлторов (около 3 тыс. ИП).</w:t>
      </w:r>
    </w:p>
    <w:p w:rsidR="00B920A7" w:rsidRDefault="00B920A7" w:rsidP="00404976">
      <w:pPr>
        <w:spacing w:after="0" w:line="240" w:lineRule="auto"/>
        <w:jc w:val="both"/>
        <w:rPr>
          <w:szCs w:val="24"/>
        </w:rPr>
      </w:pPr>
    </w:p>
    <w:p w:rsidR="00404976" w:rsidRDefault="009205D8" w:rsidP="00404976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53B6915F" wp14:editId="1DF3CB85">
            <wp:extent cx="3114675" cy="17621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04976" w:rsidRDefault="00404976" w:rsidP="00404976">
      <w:pPr>
        <w:spacing w:after="0" w:line="240" w:lineRule="auto"/>
        <w:jc w:val="both"/>
      </w:pPr>
    </w:p>
    <w:p w:rsidR="00404976" w:rsidRDefault="00404976" w:rsidP="00404976">
      <w:pPr>
        <w:spacing w:after="0" w:line="240" w:lineRule="auto"/>
        <w:jc w:val="both"/>
        <w:rPr>
          <w:sz w:val="22"/>
          <w:szCs w:val="22"/>
        </w:rPr>
        <w:sectPr w:rsidR="00404976" w:rsidSect="00404976">
          <w:type w:val="continuous"/>
          <w:pgSz w:w="11906" w:h="16838"/>
          <w:pgMar w:top="851" w:right="851" w:bottom="851" w:left="1134" w:header="0" w:footer="454" w:gutter="0"/>
          <w:cols w:num="2" w:space="708"/>
          <w:docGrid w:linePitch="360"/>
        </w:sectPr>
      </w:pPr>
    </w:p>
    <w:p w:rsidR="008458C5" w:rsidRPr="00F901D4" w:rsidRDefault="008458C5" w:rsidP="008458C5">
      <w:pPr>
        <w:keepLines/>
        <w:spacing w:after="0" w:line="240" w:lineRule="auto"/>
        <w:jc w:val="both"/>
        <w:rPr>
          <w:sz w:val="22"/>
          <w:szCs w:val="22"/>
        </w:rPr>
      </w:pPr>
      <w:r w:rsidRPr="00F901D4">
        <w:rPr>
          <w:sz w:val="22"/>
          <w:szCs w:val="22"/>
        </w:rPr>
        <w:t>В зависимости от категории жилья риэлторы классифицируются на сопровождающих сделки купли-продажи типового жилья (</w:t>
      </w:r>
      <w:r w:rsidRPr="00F901D4">
        <w:rPr>
          <w:rFonts w:eastAsiaTheme="minorEastAsia"/>
          <w:sz w:val="22"/>
          <w:szCs w:val="22"/>
        </w:rPr>
        <w:t>85%)</w:t>
      </w:r>
      <w:r w:rsidRPr="00F901D4">
        <w:rPr>
          <w:sz w:val="22"/>
          <w:szCs w:val="22"/>
        </w:rPr>
        <w:t>, повышенного качества (13%) и элитного жилья (2%).</w:t>
      </w:r>
    </w:p>
    <w:p w:rsidR="008458C5" w:rsidRDefault="004E0125" w:rsidP="008458C5">
      <w:pPr>
        <w:pStyle w:val="Default"/>
        <w:tabs>
          <w:tab w:val="right" w:pos="9921"/>
        </w:tabs>
        <w:rPr>
          <w:color w:val="auto"/>
          <w:sz w:val="22"/>
          <w:szCs w:val="22"/>
        </w:rPr>
        <w:sectPr w:rsidR="008458C5" w:rsidSect="008458C5">
          <w:type w:val="continuous"/>
          <w:pgSz w:w="11906" w:h="16838"/>
          <w:pgMar w:top="851" w:right="851" w:bottom="851" w:left="1134" w:header="0" w:footer="454" w:gutter="0"/>
          <w:cols w:num="2" w:space="565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62CA640" wp14:editId="230A96C6">
            <wp:extent cx="3218180" cy="1857375"/>
            <wp:effectExtent l="0" t="0" r="127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8458C5" w:rsidRPr="008458C5">
        <w:rPr>
          <w:color w:val="auto"/>
          <w:sz w:val="22"/>
          <w:szCs w:val="22"/>
        </w:rPr>
        <w:tab/>
      </w:r>
    </w:p>
    <w:p w:rsidR="008458C5" w:rsidRDefault="008458C5" w:rsidP="008458C5">
      <w:pPr>
        <w:pStyle w:val="Default"/>
        <w:tabs>
          <w:tab w:val="right" w:pos="9921"/>
        </w:tabs>
        <w:rPr>
          <w:color w:val="auto"/>
          <w:sz w:val="22"/>
          <w:szCs w:val="22"/>
        </w:rPr>
      </w:pPr>
    </w:p>
    <w:p w:rsidR="00404976" w:rsidRPr="008458C5" w:rsidRDefault="00404976" w:rsidP="008458C5">
      <w:pPr>
        <w:sectPr w:rsidR="00404976" w:rsidRPr="008458C5" w:rsidSect="00404976">
          <w:type w:val="continuous"/>
          <w:pgSz w:w="11906" w:h="16838"/>
          <w:pgMar w:top="851" w:right="851" w:bottom="851" w:left="1134" w:header="0" w:footer="454" w:gutter="0"/>
          <w:cols w:space="565"/>
          <w:docGrid w:linePitch="360"/>
        </w:sectPr>
      </w:pPr>
    </w:p>
    <w:p w:rsidR="00220E6D" w:rsidRPr="00B86021" w:rsidRDefault="00220E6D" w:rsidP="00220E6D">
      <w:pPr>
        <w:pStyle w:val="Default"/>
        <w:jc w:val="both"/>
        <w:rPr>
          <w:color w:val="auto"/>
          <w:sz w:val="22"/>
          <w:szCs w:val="22"/>
        </w:rPr>
      </w:pPr>
      <w:r w:rsidRPr="00B86021">
        <w:rPr>
          <w:color w:val="auto"/>
          <w:sz w:val="22"/>
          <w:szCs w:val="22"/>
        </w:rPr>
        <w:lastRenderedPageBreak/>
        <w:t>Влияние на классификацию риэлторов и масштаб их бизнеса оказывает набор предоставляемых услуг.</w:t>
      </w:r>
    </w:p>
    <w:p w:rsidR="00220E6D" w:rsidRPr="00B86021" w:rsidRDefault="00220E6D" w:rsidP="00220E6D">
      <w:pPr>
        <w:pStyle w:val="Default"/>
        <w:jc w:val="both"/>
        <w:rPr>
          <w:color w:val="auto"/>
          <w:sz w:val="22"/>
          <w:szCs w:val="22"/>
        </w:rPr>
      </w:pPr>
    </w:p>
    <w:p w:rsidR="00C42272" w:rsidRPr="00B86021" w:rsidRDefault="00C42272" w:rsidP="005D41F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этой связи сектор сегментируется на агентства недвижимости (крупный и средний бизнес), имеющие свои представительства (офисы) в регионе, и частных риэлторов (мелкий бизнес).</w:t>
      </w:r>
    </w:p>
    <w:p w:rsidR="00220E6D" w:rsidRPr="00B86021" w:rsidRDefault="00220E6D" w:rsidP="005D41F0">
      <w:pPr>
        <w:spacing w:after="0" w:line="240" w:lineRule="auto"/>
        <w:jc w:val="both"/>
        <w:rPr>
          <w:sz w:val="22"/>
          <w:szCs w:val="22"/>
        </w:rPr>
      </w:pPr>
    </w:p>
    <w:p w:rsidR="00AE51CC" w:rsidRPr="00B86021" w:rsidRDefault="00AE51CC" w:rsidP="005D41F0">
      <w:pPr>
        <w:spacing w:after="0" w:line="240" w:lineRule="auto"/>
        <w:jc w:val="both"/>
        <w:rPr>
          <w:sz w:val="22"/>
          <w:szCs w:val="22"/>
        </w:rPr>
      </w:pPr>
      <w:r w:rsidRPr="00B86021">
        <w:rPr>
          <w:sz w:val="22"/>
          <w:szCs w:val="22"/>
        </w:rPr>
        <w:t>В настоящее время в Российской Федерации рынок риэлторски</w:t>
      </w:r>
      <w:r w:rsidR="00F901D4">
        <w:rPr>
          <w:sz w:val="22"/>
          <w:szCs w:val="22"/>
        </w:rPr>
        <w:t xml:space="preserve">х услуг сокращается, поскольку </w:t>
      </w:r>
      <w:r w:rsidRPr="00B86021">
        <w:rPr>
          <w:sz w:val="22"/>
          <w:szCs w:val="22"/>
        </w:rPr>
        <w:t xml:space="preserve">услуги сектора становятся менее востребованы </w:t>
      </w:r>
      <w:r w:rsidR="00884CD5" w:rsidRPr="00B86021">
        <w:rPr>
          <w:sz w:val="22"/>
          <w:szCs w:val="22"/>
        </w:rPr>
        <w:t>у населения за счет следующего:</w:t>
      </w:r>
    </w:p>
    <w:p w:rsidR="00AE51CC" w:rsidRPr="00B86021" w:rsidRDefault="00AE51CC" w:rsidP="005D41F0">
      <w:pPr>
        <w:spacing w:after="0" w:line="240" w:lineRule="auto"/>
        <w:jc w:val="both"/>
        <w:rPr>
          <w:sz w:val="22"/>
          <w:szCs w:val="22"/>
        </w:rPr>
      </w:pPr>
    </w:p>
    <w:p w:rsidR="005D41F0" w:rsidRPr="00B86021" w:rsidRDefault="00AE51CC" w:rsidP="005D41F0">
      <w:pPr>
        <w:spacing w:after="0" w:line="240" w:lineRule="auto"/>
        <w:jc w:val="both"/>
        <w:rPr>
          <w:sz w:val="22"/>
          <w:szCs w:val="22"/>
        </w:rPr>
      </w:pPr>
      <w:r w:rsidRPr="00B86021">
        <w:rPr>
          <w:sz w:val="22"/>
          <w:szCs w:val="22"/>
        </w:rPr>
        <w:t>-</w:t>
      </w:r>
      <w:r w:rsidR="005D41F0" w:rsidRPr="00B86021">
        <w:rPr>
          <w:sz w:val="22"/>
          <w:szCs w:val="22"/>
        </w:rPr>
        <w:t xml:space="preserve"> сфера недвижимости представлена сделками с недвижимостью, которые заключаются </w:t>
      </w:r>
      <w:r w:rsidRPr="00B86021">
        <w:rPr>
          <w:sz w:val="22"/>
          <w:szCs w:val="22"/>
        </w:rPr>
        <w:t xml:space="preserve">участниками </w:t>
      </w:r>
      <w:r w:rsidR="005D41F0" w:rsidRPr="00B86021">
        <w:rPr>
          <w:sz w:val="22"/>
          <w:szCs w:val="22"/>
        </w:rPr>
        <w:t>самостоятельно (без посредников</w:t>
      </w:r>
      <w:r w:rsidRPr="00B86021">
        <w:rPr>
          <w:sz w:val="22"/>
          <w:szCs w:val="22"/>
        </w:rPr>
        <w:t>);</w:t>
      </w:r>
    </w:p>
    <w:p w:rsidR="00AE51CC" w:rsidRPr="00B86021" w:rsidRDefault="00AE51CC" w:rsidP="005D41F0">
      <w:pPr>
        <w:spacing w:after="0" w:line="240" w:lineRule="auto"/>
        <w:jc w:val="both"/>
        <w:rPr>
          <w:sz w:val="22"/>
          <w:szCs w:val="22"/>
        </w:rPr>
      </w:pPr>
    </w:p>
    <w:p w:rsidR="00AE51CC" w:rsidRPr="00B86021" w:rsidRDefault="00E525E5" w:rsidP="005D41F0">
      <w:pPr>
        <w:spacing w:after="0" w:line="240" w:lineRule="auto"/>
        <w:jc w:val="both"/>
        <w:rPr>
          <w:sz w:val="22"/>
          <w:szCs w:val="22"/>
        </w:rPr>
      </w:pPr>
      <w:r w:rsidRPr="00B86021">
        <w:rPr>
          <w:sz w:val="22"/>
          <w:szCs w:val="22"/>
        </w:rPr>
        <w:t>- предпочтение отдается юридическому сопровождению сделки с помощью независимых юристов;</w:t>
      </w:r>
    </w:p>
    <w:p w:rsidR="00E525E5" w:rsidRPr="00B86021" w:rsidRDefault="00E525E5" w:rsidP="005D41F0">
      <w:pPr>
        <w:spacing w:after="0" w:line="240" w:lineRule="auto"/>
        <w:jc w:val="both"/>
        <w:rPr>
          <w:sz w:val="22"/>
          <w:szCs w:val="22"/>
        </w:rPr>
      </w:pPr>
    </w:p>
    <w:p w:rsidR="00E525E5" w:rsidRPr="00B86021" w:rsidRDefault="00E525E5" w:rsidP="005D41F0">
      <w:pPr>
        <w:spacing w:after="0" w:line="240" w:lineRule="auto"/>
        <w:jc w:val="both"/>
        <w:rPr>
          <w:sz w:val="22"/>
          <w:szCs w:val="22"/>
        </w:rPr>
      </w:pPr>
      <w:r w:rsidRPr="00B86021">
        <w:rPr>
          <w:sz w:val="22"/>
          <w:szCs w:val="22"/>
        </w:rPr>
        <w:t>- развитие банковских онлайн-сервисов по регистрации сделок купли-продажи недвижимого имущества, что, вероятно, обусловит снижение количества риэлторов в перспективе</w:t>
      </w:r>
      <w:r w:rsidR="00DE3A89" w:rsidRPr="00B86021">
        <w:rPr>
          <w:sz w:val="22"/>
          <w:szCs w:val="22"/>
        </w:rPr>
        <w:t>.</w:t>
      </w:r>
    </w:p>
    <w:p w:rsidR="00E525E5" w:rsidRPr="00B86021" w:rsidRDefault="00E525E5" w:rsidP="005D41F0">
      <w:pPr>
        <w:spacing w:after="0" w:line="240" w:lineRule="auto"/>
        <w:jc w:val="both"/>
        <w:rPr>
          <w:sz w:val="22"/>
          <w:szCs w:val="22"/>
        </w:rPr>
      </w:pPr>
    </w:p>
    <w:p w:rsidR="00DE3A89" w:rsidRPr="00B86021" w:rsidRDefault="00DE3A89" w:rsidP="00DE3A89">
      <w:pPr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B86021">
        <w:rPr>
          <w:rFonts w:eastAsiaTheme="minorEastAsia"/>
          <w:sz w:val="22"/>
          <w:szCs w:val="22"/>
        </w:rPr>
        <w:t>Например, Сбербанк России создал собственную федеральную базу выставленных на продажу объектов недвижимости (Приложение «Дом Клик»):</w:t>
      </w:r>
    </w:p>
    <w:p w:rsidR="00DE3A89" w:rsidRPr="00B86021" w:rsidRDefault="00DE3A89" w:rsidP="00DE3A89">
      <w:pPr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B86021">
        <w:rPr>
          <w:rFonts w:eastAsiaTheme="minorEastAsia"/>
          <w:sz w:val="22"/>
          <w:szCs w:val="22"/>
        </w:rPr>
        <w:t>- оценивается стоимость жилой недвижимости для проведения ипотечной сделки;</w:t>
      </w:r>
    </w:p>
    <w:p w:rsidR="00DE3A89" w:rsidRPr="00B86021" w:rsidRDefault="00DE3A89" w:rsidP="00DE3A89">
      <w:pPr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B86021">
        <w:rPr>
          <w:rFonts w:eastAsiaTheme="minorEastAsia"/>
          <w:sz w:val="22"/>
          <w:szCs w:val="22"/>
        </w:rPr>
        <w:t>- удаленно проверяется юридическая «чистота» объекта недвижимости;</w:t>
      </w:r>
    </w:p>
    <w:p w:rsidR="00DE3A89" w:rsidRPr="00B86021" w:rsidRDefault="00DE3A89" w:rsidP="00DE3A89">
      <w:pPr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B86021">
        <w:rPr>
          <w:rFonts w:eastAsiaTheme="minorEastAsia"/>
          <w:sz w:val="22"/>
          <w:szCs w:val="22"/>
        </w:rPr>
        <w:t>- участие в подаче документов на регистрацию в Росреестр.</w:t>
      </w:r>
    </w:p>
    <w:p w:rsidR="00DE3A89" w:rsidRPr="00B86021" w:rsidRDefault="00DE3A89" w:rsidP="00DE3A89">
      <w:pPr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B86021">
        <w:rPr>
          <w:rFonts w:eastAsiaTheme="minorEastAsia"/>
          <w:sz w:val="22"/>
          <w:szCs w:val="22"/>
        </w:rPr>
        <w:t>В случае оформления электронной регистрации ипотечной сделки клиент получает дополнительную скидку.</w:t>
      </w:r>
    </w:p>
    <w:p w:rsidR="00DE3A89" w:rsidRPr="00B86021" w:rsidRDefault="00DE3A89" w:rsidP="00DE3A89">
      <w:pPr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B86021">
        <w:rPr>
          <w:rFonts w:eastAsiaTheme="minorEastAsia"/>
          <w:sz w:val="22"/>
          <w:szCs w:val="22"/>
        </w:rPr>
        <w:t>Объявления размещаются в Приложении «Дом Клик» не только проверенными физическими лицами, но и юридическими лицами, аккредитованными Российской Гильдией Риэлторов.</w:t>
      </w:r>
    </w:p>
    <w:p w:rsidR="00DE3A89" w:rsidRPr="00B86021" w:rsidRDefault="00DE3A89" w:rsidP="00DE3A89">
      <w:pPr>
        <w:spacing w:after="0" w:line="240" w:lineRule="auto"/>
        <w:jc w:val="both"/>
        <w:rPr>
          <w:rFonts w:eastAsiaTheme="minorEastAsia"/>
          <w:sz w:val="22"/>
          <w:szCs w:val="22"/>
        </w:rPr>
      </w:pPr>
    </w:p>
    <w:p w:rsidR="005D41F0" w:rsidRPr="00B86021" w:rsidRDefault="00DE3A89" w:rsidP="005D41F0">
      <w:pPr>
        <w:spacing w:after="0" w:line="240" w:lineRule="auto"/>
        <w:jc w:val="both"/>
        <w:rPr>
          <w:sz w:val="22"/>
          <w:szCs w:val="22"/>
        </w:rPr>
      </w:pPr>
      <w:r w:rsidRPr="00B86021">
        <w:rPr>
          <w:sz w:val="22"/>
          <w:szCs w:val="22"/>
        </w:rPr>
        <w:t>Таким образом, н</w:t>
      </w:r>
      <w:r w:rsidR="005D41F0" w:rsidRPr="00B86021">
        <w:rPr>
          <w:sz w:val="22"/>
          <w:szCs w:val="22"/>
        </w:rPr>
        <w:t xml:space="preserve">аиболее важным критерием для </w:t>
      </w:r>
      <w:r w:rsidR="00884CD5" w:rsidRPr="00B86021">
        <w:rPr>
          <w:sz w:val="22"/>
          <w:szCs w:val="22"/>
        </w:rPr>
        <w:t>участников сделок с недвижимостью</w:t>
      </w:r>
      <w:r w:rsidR="005D41F0" w:rsidRPr="00B86021">
        <w:rPr>
          <w:sz w:val="22"/>
          <w:szCs w:val="22"/>
        </w:rPr>
        <w:t xml:space="preserve"> является </w:t>
      </w:r>
      <w:r w:rsidR="00884CD5" w:rsidRPr="00B86021">
        <w:rPr>
          <w:sz w:val="22"/>
          <w:szCs w:val="22"/>
        </w:rPr>
        <w:t>«чистота» сделки и ценовая политика</w:t>
      </w:r>
      <w:r w:rsidR="005D41F0" w:rsidRPr="00B86021">
        <w:rPr>
          <w:sz w:val="22"/>
          <w:szCs w:val="22"/>
        </w:rPr>
        <w:t xml:space="preserve"> </w:t>
      </w:r>
      <w:r w:rsidRPr="00B86021">
        <w:rPr>
          <w:sz w:val="22"/>
          <w:szCs w:val="22"/>
        </w:rPr>
        <w:t xml:space="preserve">посреднической </w:t>
      </w:r>
      <w:r w:rsidR="005D41F0" w:rsidRPr="00B86021">
        <w:rPr>
          <w:sz w:val="22"/>
          <w:szCs w:val="22"/>
        </w:rPr>
        <w:t>услуги. К риэлторам обращаются в большей степени затем, чтобы иметь максимальное количество вариантов и возможность вести предварительные торги</w:t>
      </w:r>
      <w:r w:rsidR="00884CD5" w:rsidRPr="00B86021">
        <w:rPr>
          <w:sz w:val="22"/>
          <w:szCs w:val="22"/>
        </w:rPr>
        <w:t xml:space="preserve"> стоимости </w:t>
      </w:r>
      <w:r w:rsidR="00E525E5" w:rsidRPr="00B86021">
        <w:rPr>
          <w:sz w:val="22"/>
          <w:szCs w:val="22"/>
        </w:rPr>
        <w:t>недвижимости</w:t>
      </w:r>
      <w:r w:rsidR="005D41F0" w:rsidRPr="00B86021">
        <w:rPr>
          <w:sz w:val="22"/>
          <w:szCs w:val="22"/>
        </w:rPr>
        <w:t xml:space="preserve">. </w:t>
      </w:r>
    </w:p>
    <w:p w:rsidR="00AE51CC" w:rsidRPr="00B86021" w:rsidRDefault="00AE51CC" w:rsidP="005D41F0">
      <w:pPr>
        <w:spacing w:after="0" w:line="240" w:lineRule="auto"/>
        <w:jc w:val="both"/>
        <w:rPr>
          <w:sz w:val="22"/>
          <w:szCs w:val="22"/>
        </w:rPr>
      </w:pPr>
    </w:p>
    <w:p w:rsidR="005D41F0" w:rsidRPr="00B86021" w:rsidRDefault="005D41F0" w:rsidP="005D41F0">
      <w:pPr>
        <w:spacing w:after="0" w:line="240" w:lineRule="auto"/>
        <w:jc w:val="both"/>
        <w:rPr>
          <w:sz w:val="22"/>
          <w:szCs w:val="22"/>
        </w:rPr>
      </w:pPr>
      <w:r w:rsidRPr="00B86021">
        <w:rPr>
          <w:sz w:val="22"/>
          <w:szCs w:val="22"/>
        </w:rPr>
        <w:t xml:space="preserve">В настоящий момент рынок недвижимости представлен новостройками и вторичным жильем. На вторичном рынке жилья последовательно сокращается объем </w:t>
      </w:r>
      <w:r w:rsidR="000C2561">
        <w:rPr>
          <w:sz w:val="22"/>
          <w:szCs w:val="22"/>
        </w:rPr>
        <w:t>спроса</w:t>
      </w:r>
      <w:r w:rsidRPr="00B86021">
        <w:rPr>
          <w:sz w:val="22"/>
          <w:szCs w:val="22"/>
        </w:rPr>
        <w:t xml:space="preserve">. Растет и число выданных ипотечных кредитов, что говорит о недостаточности собственных средств для приобретения жилья. Таким образом, </w:t>
      </w:r>
      <w:r w:rsidR="00DE3A89" w:rsidRPr="00B86021">
        <w:rPr>
          <w:sz w:val="22"/>
          <w:szCs w:val="22"/>
        </w:rPr>
        <w:t xml:space="preserve">действия на рынке </w:t>
      </w:r>
      <w:r w:rsidRPr="00B86021">
        <w:rPr>
          <w:sz w:val="22"/>
          <w:szCs w:val="22"/>
        </w:rPr>
        <w:t>свод</w:t>
      </w:r>
      <w:r w:rsidR="00DE3A89" w:rsidRPr="00B86021">
        <w:rPr>
          <w:sz w:val="22"/>
          <w:szCs w:val="22"/>
        </w:rPr>
        <w:t>я</w:t>
      </w:r>
      <w:r w:rsidRPr="00B86021">
        <w:rPr>
          <w:sz w:val="22"/>
          <w:szCs w:val="22"/>
        </w:rPr>
        <w:t>тся к покупке у застройщика недвижимого имущества с использованием средств ипотечного кредитования путем дистанционного оформления через различные электронные продукты банка.</w:t>
      </w:r>
    </w:p>
    <w:p w:rsidR="00A00FA3" w:rsidRPr="00B86021" w:rsidRDefault="00A00FA3" w:rsidP="005D41F0">
      <w:pPr>
        <w:spacing w:after="0" w:line="240" w:lineRule="auto"/>
        <w:jc w:val="both"/>
        <w:rPr>
          <w:sz w:val="22"/>
          <w:szCs w:val="22"/>
        </w:rPr>
      </w:pPr>
    </w:p>
    <w:p w:rsidR="00B920A7" w:rsidRPr="00B86021" w:rsidRDefault="005F3544" w:rsidP="00B920A7">
      <w:pPr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B86021">
        <w:rPr>
          <w:rFonts w:eastAsiaTheme="minorEastAsia"/>
          <w:sz w:val="22"/>
          <w:szCs w:val="22"/>
        </w:rPr>
        <w:t>Кроме того, в</w:t>
      </w:r>
      <w:r w:rsidR="00B920A7" w:rsidRPr="00B86021">
        <w:rPr>
          <w:rFonts w:eastAsiaTheme="minorEastAsia"/>
          <w:sz w:val="22"/>
          <w:szCs w:val="22"/>
        </w:rPr>
        <w:t xml:space="preserve"> Российской Федерации создана национальная организация профессиональных участников рынка недвижимости - Российская Гильдия Риэлторов, объединяющая около 1200 компаний, в том числе 45 региональных ассоциаций.</w:t>
      </w:r>
    </w:p>
    <w:p w:rsidR="006C239F" w:rsidRPr="00B86021" w:rsidRDefault="006C239F" w:rsidP="00B920A7">
      <w:pPr>
        <w:spacing w:after="0" w:line="240" w:lineRule="auto"/>
        <w:jc w:val="both"/>
        <w:rPr>
          <w:rFonts w:eastAsiaTheme="minorEastAsia"/>
          <w:sz w:val="22"/>
          <w:szCs w:val="22"/>
        </w:rPr>
      </w:pPr>
    </w:p>
    <w:p w:rsidR="006C239F" w:rsidRPr="00B86021" w:rsidRDefault="006C239F" w:rsidP="006C239F">
      <w:pPr>
        <w:spacing w:after="0" w:line="240" w:lineRule="auto"/>
        <w:jc w:val="both"/>
        <w:rPr>
          <w:color w:val="000000" w:themeColor="text1"/>
          <w:sz w:val="22"/>
          <w:szCs w:val="22"/>
        </w:rPr>
      </w:pPr>
      <w:r w:rsidRPr="00B86021">
        <w:rPr>
          <w:color w:val="000000" w:themeColor="text1"/>
          <w:sz w:val="22"/>
          <w:szCs w:val="22"/>
        </w:rPr>
        <w:t xml:space="preserve">В соответствии с п. 9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(далее – ПОД/ФТ) контроль за исполнением законодательства о ПОД/ФТ </w:t>
      </w:r>
      <w:r w:rsidR="00BC03C9">
        <w:rPr>
          <w:color w:val="000000" w:themeColor="text1"/>
          <w:sz w:val="22"/>
          <w:szCs w:val="22"/>
        </w:rPr>
        <w:t>риэлторами</w:t>
      </w:r>
      <w:r w:rsidRPr="00B86021">
        <w:rPr>
          <w:color w:val="000000" w:themeColor="text1"/>
          <w:sz w:val="22"/>
          <w:szCs w:val="22"/>
        </w:rPr>
        <w:t xml:space="preserve"> возложен на Росфинмониторинг.</w:t>
      </w:r>
    </w:p>
    <w:p w:rsidR="006C239F" w:rsidRPr="00B86021" w:rsidRDefault="006C239F" w:rsidP="006C239F">
      <w:pPr>
        <w:spacing w:after="0" w:line="240" w:lineRule="auto"/>
        <w:jc w:val="both"/>
        <w:rPr>
          <w:color w:val="000000" w:themeColor="text1"/>
          <w:sz w:val="22"/>
          <w:szCs w:val="22"/>
        </w:rPr>
      </w:pPr>
    </w:p>
    <w:p w:rsidR="006C239F" w:rsidRPr="00B86021" w:rsidRDefault="006C239F" w:rsidP="006C239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B86021">
        <w:rPr>
          <w:rFonts w:eastAsia="Calibri"/>
          <w:sz w:val="22"/>
          <w:szCs w:val="22"/>
        </w:rPr>
        <w:t xml:space="preserve">Осуществляемая </w:t>
      </w:r>
      <w:r w:rsidRPr="00B86021">
        <w:rPr>
          <w:sz w:val="22"/>
          <w:szCs w:val="22"/>
        </w:rPr>
        <w:t xml:space="preserve">Росфинмониторингом надзорная деятельность </w:t>
      </w:r>
      <w:r w:rsidRPr="00B86021">
        <w:rPr>
          <w:bCs/>
          <w:iCs/>
          <w:sz w:val="22"/>
          <w:szCs w:val="22"/>
        </w:rPr>
        <w:t>основывается на</w:t>
      </w:r>
      <w:r w:rsidRPr="00B86021">
        <w:rPr>
          <w:sz w:val="22"/>
          <w:szCs w:val="22"/>
        </w:rPr>
        <w:t xml:space="preserve"> концепции риск-ориентированного подхода, предусматривающего повышенное внимание к поднадзорным субъектам, имеющим высокие риски нарушения требований законодательства о ПОД/ФТ.</w:t>
      </w:r>
    </w:p>
    <w:p w:rsidR="006C239F" w:rsidRPr="00B86021" w:rsidRDefault="006C239F" w:rsidP="006C239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6C239F" w:rsidRPr="00B86021" w:rsidRDefault="006C239F" w:rsidP="006C239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2"/>
        </w:rPr>
        <w:sectPr w:rsidR="006C239F" w:rsidRPr="00B86021" w:rsidSect="00606BF5">
          <w:type w:val="continuous"/>
          <w:pgSz w:w="11906" w:h="16838"/>
          <w:pgMar w:top="1134" w:right="851" w:bottom="1134" w:left="1418" w:header="709" w:footer="709" w:gutter="0"/>
          <w:cols w:num="2" w:space="708"/>
          <w:titlePg/>
          <w:docGrid w:linePitch="360"/>
        </w:sectPr>
      </w:pPr>
      <w:r w:rsidRPr="00B86021">
        <w:rPr>
          <w:sz w:val="22"/>
          <w:szCs w:val="22"/>
        </w:rPr>
        <w:t xml:space="preserve">В отношении </w:t>
      </w:r>
      <w:r w:rsidR="00BC03C9">
        <w:rPr>
          <w:sz w:val="22"/>
          <w:szCs w:val="22"/>
        </w:rPr>
        <w:t>риэлторов</w:t>
      </w:r>
      <w:r w:rsidRPr="00B86021">
        <w:rPr>
          <w:sz w:val="22"/>
          <w:szCs w:val="22"/>
        </w:rPr>
        <w:t xml:space="preserve"> </w:t>
      </w:r>
      <w:r w:rsidRPr="00B86021">
        <w:rPr>
          <w:color w:val="000000" w:themeColor="text1"/>
          <w:sz w:val="22"/>
          <w:szCs w:val="22"/>
        </w:rPr>
        <w:t>с низким уровнем риска реализуется текущий мониторинг, с умеренным уровнем риска проводятся профилактические мероприятия, с повышенным уровнем риска осуществляется адресное взаимодействие, применяются корректирующие меры (в форме направления письма руководству, дистанционные формы обучения и др.), с высоким уровнем риска проводятся документарные и выездные проверки, а также направляются материалы в правоохранительные структуры.</w:t>
      </w:r>
    </w:p>
    <w:bookmarkStart w:id="2" w:name="_Toc527651182"/>
    <w:p w:rsidR="00E607CF" w:rsidRPr="00E664CE" w:rsidRDefault="00E607CF" w:rsidP="00E607CF">
      <w:pPr>
        <w:pStyle w:val="afb"/>
        <w:tabs>
          <w:tab w:val="center" w:pos="4818"/>
        </w:tabs>
        <w:rPr>
          <w:rFonts w:ascii="Times New Roman" w:hAnsi="Times New Roman" w:cs="Times New Roman"/>
          <w:b/>
          <w:color w:val="000000" w:themeColor="text1"/>
        </w:rPr>
      </w:pPr>
      <w:r w:rsidRPr="006744D2">
        <w:rPr>
          <w:rFonts w:ascii="Times New Roman" w:hAnsi="Times New Roman" w:cs="Times New Roman"/>
          <w:b/>
          <w:caps/>
          <w:noProof/>
          <w:color w:val="365F91" w:themeColor="accent1" w:themeShade="BF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D7497" wp14:editId="3CBEAAD5">
                <wp:simplePos x="0" y="0"/>
                <wp:positionH relativeFrom="column">
                  <wp:posOffset>2221865</wp:posOffset>
                </wp:positionH>
                <wp:positionV relativeFrom="paragraph">
                  <wp:posOffset>78740</wp:posOffset>
                </wp:positionV>
                <wp:extent cx="4191000" cy="1504950"/>
                <wp:effectExtent l="0" t="0" r="0" b="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5049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8BF" w:rsidRPr="00E607CF" w:rsidRDefault="000A58BF" w:rsidP="00E607CF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7CF">
                              <w:rPr>
                                <w:b/>
                                <w:bCs/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Угроза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— означает лицо, объект или деятельность, представляющие потенциальную опасность или могущие стать причиной ущерба.</w:t>
                            </w:r>
                          </w:p>
                          <w:p w:rsidR="000A58BF" w:rsidRPr="00E607CF" w:rsidRDefault="000A58BF" w:rsidP="00E607CF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контексте ОД/ФТ это понятие включает в себя преступников, их денежные средства и иные возможности, а также совершение ими приносящих доходы предикатных преступлений.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D7497" id="Прямоугольник 7" o:spid="_x0000_s1026" style="position:absolute;margin-left:174.95pt;margin-top:6.2pt;width:330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" fillcolor="#f6f8fb [180]" stroked="f" strokeweight="2pt">
                <v:fill color2="#cad9eb [980]" focus="100%" type="gradient"/>
                <v:textbox>
                  <w:txbxContent>
                    <w:p w:rsidR="000A58BF" w:rsidRPr="00E607CF" w:rsidRDefault="000A58BF" w:rsidP="00E607CF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07CF">
                        <w:rPr>
                          <w:b/>
                          <w:bCs/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Угроза</w:t>
                      </w:r>
                      <w:r w:rsidRPr="00E607CF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— означает лицо, объект или деятельность, представляющие потенциальную опасность или могущие стать причиной ущерба.</w:t>
                      </w:r>
                    </w:p>
                    <w:p w:rsidR="000A58BF" w:rsidRPr="00E607CF" w:rsidRDefault="000A58BF" w:rsidP="00E607CF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07CF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контексте ОД/ФТ это понятие включает в себя преступников, их денежные средства и иные возможности, а также совершение ими приносящих доходы предикатных преступлений.</w:t>
                      </w:r>
                    </w:p>
                  </w:txbxContent>
                </v:textbox>
              </v:rect>
            </w:pict>
          </mc:Fallback>
        </mc:AlternateContent>
      </w:r>
      <w:r w:rsidRPr="006744D2">
        <w:rPr>
          <w:rFonts w:ascii="Times New Roman" w:hAnsi="Times New Roman" w:cs="Times New Roman"/>
          <w:b/>
          <w:color w:val="365F91" w:themeColor="accent1" w:themeShade="BF"/>
        </w:rPr>
        <w:t>Х</w:t>
      </w:r>
      <w:r w:rsidRPr="006744D2">
        <w:rPr>
          <w:rFonts w:ascii="Times New Roman" w:hAnsi="Times New Roman" w:cs="Times New Roman"/>
          <w:b/>
          <w:caps/>
          <w:color w:val="365F91" w:themeColor="accent1" w:themeShade="BF"/>
        </w:rPr>
        <w:t>арактеристика угроз</w:t>
      </w:r>
      <w:r>
        <w:rPr>
          <w:rFonts w:ascii="Times New Roman" w:hAnsi="Times New Roman" w:cs="Times New Roman"/>
          <w:b/>
          <w:caps/>
          <w:color w:val="000000" w:themeColor="text1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E607CF" w:rsidRPr="005F0D86" w:rsidTr="000C2561">
        <w:tc>
          <w:tcPr>
            <w:tcW w:w="279" w:type="dxa"/>
            <w:shd w:val="clear" w:color="auto" w:fill="auto"/>
          </w:tcPr>
          <w:p w:rsidR="00E607CF" w:rsidRPr="005F0D86" w:rsidRDefault="00E607CF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07CF" w:rsidRPr="005F0D86" w:rsidRDefault="00E607CF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36C0A" w:themeFill="accent6" w:themeFillShade="BF"/>
          </w:tcPr>
          <w:p w:rsidR="00E607CF" w:rsidRPr="005F0D86" w:rsidRDefault="00E607CF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</w:tcPr>
          <w:p w:rsidR="00E607CF" w:rsidRPr="005F0D86" w:rsidRDefault="00E607CF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E607CF" w:rsidRPr="00736BCE" w:rsidRDefault="00641115" w:rsidP="00E607CF">
      <w:pPr>
        <w:spacing w:after="0" w:line="240" w:lineRule="auto"/>
        <w:jc w:val="both"/>
        <w:rPr>
          <w:rFonts w:eastAsia="Arial"/>
          <w:i/>
          <w:color w:val="404040" w:themeColor="text1" w:themeTint="BF"/>
          <w:sz w:val="28"/>
          <w:szCs w:val="28"/>
        </w:rPr>
      </w:pPr>
      <w:r>
        <w:rPr>
          <w:rFonts w:eastAsia="Arial"/>
          <w:i/>
          <w:color w:val="404040" w:themeColor="text1" w:themeTint="BF"/>
          <w:sz w:val="28"/>
          <w:szCs w:val="28"/>
        </w:rPr>
        <w:t>Повышенный</w:t>
      </w:r>
      <w:r w:rsidR="00E607CF" w:rsidRPr="00736BCE">
        <w:rPr>
          <w:rFonts w:eastAsia="Arial"/>
          <w:i/>
          <w:color w:val="404040" w:themeColor="text1" w:themeTint="BF"/>
          <w:sz w:val="28"/>
          <w:szCs w:val="28"/>
        </w:rPr>
        <w:t xml:space="preserve"> уровень</w:t>
      </w:r>
    </w:p>
    <w:p w:rsidR="00E607CF" w:rsidRPr="005F0D86" w:rsidRDefault="00E607CF" w:rsidP="00E607CF">
      <w:pPr>
        <w:spacing w:after="0" w:line="240" w:lineRule="auto"/>
        <w:jc w:val="both"/>
        <w:rPr>
          <w:rFonts w:eastAsia="Arial"/>
          <w:color w:val="404040" w:themeColor="text1" w:themeTint="BF"/>
          <w:sz w:val="28"/>
          <w:szCs w:val="28"/>
        </w:rPr>
      </w:pPr>
    </w:p>
    <w:p w:rsidR="00E607CF" w:rsidRDefault="00E607CF" w:rsidP="00E607CF">
      <w:pPr>
        <w:spacing w:after="0" w:line="240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</w:p>
    <w:p w:rsidR="00E607CF" w:rsidRDefault="00E607CF" w:rsidP="00E607CF">
      <w:pPr>
        <w:spacing w:after="0" w:line="240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</w:p>
    <w:p w:rsidR="00E607CF" w:rsidRDefault="00E607CF" w:rsidP="00E607CF">
      <w:pPr>
        <w:spacing w:after="0" w:line="240" w:lineRule="auto"/>
        <w:ind w:firstLine="709"/>
        <w:jc w:val="both"/>
        <w:rPr>
          <w:rFonts w:eastAsia="Arial"/>
          <w:color w:val="000000" w:themeColor="text1"/>
          <w:sz w:val="28"/>
          <w:szCs w:val="28"/>
        </w:rPr>
      </w:pPr>
    </w:p>
    <w:p w:rsidR="00E607CF" w:rsidRDefault="00E607CF" w:rsidP="00E607CF">
      <w:pPr>
        <w:spacing w:after="0" w:line="240" w:lineRule="auto"/>
        <w:ind w:firstLine="709"/>
        <w:jc w:val="both"/>
        <w:rPr>
          <w:rFonts w:eastAsia="Arial"/>
          <w:bCs/>
          <w:i/>
          <w:color w:val="000000" w:themeColor="text1"/>
          <w:sz w:val="28"/>
          <w:szCs w:val="28"/>
        </w:rPr>
      </w:pPr>
    </w:p>
    <w:p w:rsidR="00E607CF" w:rsidRDefault="00E607CF" w:rsidP="00E607CF">
      <w:pPr>
        <w:spacing w:after="0" w:line="240" w:lineRule="auto"/>
        <w:ind w:firstLine="709"/>
        <w:jc w:val="both"/>
        <w:rPr>
          <w:rFonts w:eastAsia="Arial"/>
          <w:bCs/>
          <w:i/>
          <w:color w:val="000000" w:themeColor="text1"/>
          <w:sz w:val="28"/>
          <w:szCs w:val="28"/>
        </w:rPr>
      </w:pPr>
    </w:p>
    <w:p w:rsidR="00E607CF" w:rsidRDefault="00E607CF" w:rsidP="00E607CF">
      <w:pPr>
        <w:spacing w:after="0" w:line="240" w:lineRule="auto"/>
        <w:ind w:firstLine="709"/>
        <w:jc w:val="both"/>
        <w:rPr>
          <w:rFonts w:eastAsia="Arial"/>
          <w:bCs/>
          <w:i/>
          <w:color w:val="000000" w:themeColor="text1"/>
          <w:sz w:val="28"/>
          <w:szCs w:val="28"/>
        </w:rPr>
        <w:sectPr w:rsidR="00E607CF" w:rsidSect="00872B5E"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BE2BCE" w:rsidRPr="00307C05" w:rsidRDefault="00E607CF" w:rsidP="00BE2BCE">
      <w:pPr>
        <w:spacing w:after="0" w:line="240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307C05">
        <w:rPr>
          <w:rFonts w:eastAsia="Arial"/>
          <w:bCs/>
          <w:i/>
          <w:color w:val="000000" w:themeColor="text1"/>
          <w:sz w:val="22"/>
          <w:szCs w:val="22"/>
        </w:rPr>
        <w:t xml:space="preserve">Проведена оценка угрозы вовлечения субъектов сектора </w:t>
      </w:r>
      <w:r w:rsidRPr="00307C05">
        <w:rPr>
          <w:rFonts w:eastAsia="Arial"/>
          <w:i/>
          <w:color w:val="000000" w:themeColor="text1"/>
          <w:sz w:val="22"/>
          <w:szCs w:val="22"/>
        </w:rPr>
        <w:t>в «теневые» группы, использующие типологии ОД/ФТ.</w:t>
      </w:r>
      <w:r w:rsidR="00BE2BCE" w:rsidRPr="00307C05">
        <w:rPr>
          <w:rFonts w:eastAsia="Arial"/>
          <w:color w:val="000000" w:themeColor="text1"/>
          <w:sz w:val="22"/>
          <w:szCs w:val="22"/>
        </w:rPr>
        <w:t xml:space="preserve"> </w:t>
      </w:r>
    </w:p>
    <w:p w:rsidR="00BE2BCE" w:rsidRPr="00307C05" w:rsidRDefault="00BE2BCE" w:rsidP="00BE2BCE">
      <w:pPr>
        <w:spacing w:after="0" w:line="240" w:lineRule="auto"/>
        <w:jc w:val="both"/>
        <w:rPr>
          <w:rFonts w:eastAsia="Arial"/>
          <w:color w:val="000000" w:themeColor="text1"/>
          <w:sz w:val="22"/>
          <w:szCs w:val="22"/>
        </w:rPr>
      </w:pPr>
    </w:p>
    <w:p w:rsidR="002202A1" w:rsidRDefault="002202A1" w:rsidP="002202A1">
      <w:pPr>
        <w:keepLines/>
        <w:spacing w:after="0" w:line="240" w:lineRule="auto"/>
        <w:jc w:val="both"/>
        <w:rPr>
          <w:sz w:val="22"/>
          <w:szCs w:val="22"/>
        </w:rPr>
      </w:pPr>
      <w:r w:rsidRPr="00307C05">
        <w:rPr>
          <w:rFonts w:eastAsia="Arial"/>
          <w:color w:val="000000" w:themeColor="text1"/>
          <w:sz w:val="22"/>
          <w:szCs w:val="22"/>
        </w:rPr>
        <w:t xml:space="preserve">Сектор характеризуется, в целом, повышенным уровнем криминализованности, </w:t>
      </w:r>
      <w:r>
        <w:rPr>
          <w:sz w:val="22"/>
          <w:szCs w:val="22"/>
        </w:rPr>
        <w:t xml:space="preserve">поскольку </w:t>
      </w:r>
      <w:r w:rsidRPr="00307C05">
        <w:rPr>
          <w:sz w:val="22"/>
          <w:szCs w:val="22"/>
        </w:rPr>
        <w:t>факты приобретения недвижимого имущества на преступные доходы фигурируют в материалах уголовных дел по статьям 174, 174.1 Уголовного кодекса Российской Федерации (далее - УК РФ)</w:t>
      </w:r>
      <w:r>
        <w:rPr>
          <w:sz w:val="22"/>
          <w:szCs w:val="22"/>
        </w:rPr>
        <w:t>.</w:t>
      </w:r>
      <w:r w:rsidRPr="002202A1">
        <w:rPr>
          <w:sz w:val="22"/>
          <w:szCs w:val="22"/>
        </w:rPr>
        <w:t xml:space="preserve"> </w:t>
      </w:r>
    </w:p>
    <w:p w:rsidR="002202A1" w:rsidRDefault="002202A1" w:rsidP="002202A1">
      <w:pPr>
        <w:keepLines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202A1" w:rsidRDefault="002202A1" w:rsidP="002202A1">
      <w:pPr>
        <w:keepLines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307C05">
        <w:rPr>
          <w:sz w:val="22"/>
          <w:szCs w:val="22"/>
        </w:rPr>
        <w:t xml:space="preserve">В 2015-2018 гг. было вынесено чуть более 20 приговоров в отношении лиц (группы лиц), осуществивших мошеннические действия и хищения недвижимого имущества, легализацию преступных доходов, а также причинение вреда жизни и здоровью граждан. </w:t>
      </w:r>
      <w:r w:rsidRPr="00307C05">
        <w:rPr>
          <w:rFonts w:eastAsia="Calibri"/>
          <w:sz w:val="22"/>
          <w:szCs w:val="22"/>
        </w:rPr>
        <w:t>В большинстве дел размер причиненного ущерба расценивается как «особо крупный» (от 1 млн руб.).</w:t>
      </w:r>
      <w:r w:rsidRPr="002202A1">
        <w:rPr>
          <w:sz w:val="22"/>
          <w:szCs w:val="22"/>
        </w:rPr>
        <w:t xml:space="preserve"> </w:t>
      </w:r>
    </w:p>
    <w:p w:rsidR="002202A1" w:rsidRDefault="002202A1" w:rsidP="002202A1">
      <w:pPr>
        <w:keepLines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202A1" w:rsidRDefault="002202A1" w:rsidP="002202A1">
      <w:pPr>
        <w:keepLines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При этом</w:t>
      </w:r>
      <w:r w:rsidRPr="00307C05">
        <w:rPr>
          <w:sz w:val="22"/>
          <w:szCs w:val="22"/>
        </w:rPr>
        <w:t xml:space="preserve"> основные преступления, связанные с совершением мошеннических действий (ст. 159 УК РФ)</w:t>
      </w:r>
      <w:r>
        <w:rPr>
          <w:sz w:val="22"/>
          <w:szCs w:val="22"/>
        </w:rPr>
        <w:t>,</w:t>
      </w:r>
      <w:r w:rsidRPr="00307C05">
        <w:rPr>
          <w:sz w:val="22"/>
          <w:szCs w:val="22"/>
        </w:rPr>
        <w:t xml:space="preserve"> </w:t>
      </w:r>
      <w:r w:rsidRPr="00717094">
        <w:rPr>
          <w:color w:val="000000" w:themeColor="text1"/>
          <w:sz w:val="22"/>
          <w:szCs w:val="22"/>
        </w:rPr>
        <w:t xml:space="preserve">а именно, </w:t>
      </w:r>
      <w:r>
        <w:rPr>
          <w:color w:val="000000" w:themeColor="text1"/>
          <w:sz w:val="22"/>
          <w:szCs w:val="22"/>
        </w:rPr>
        <w:t>м</w:t>
      </w:r>
      <w:r w:rsidRPr="00717094">
        <w:rPr>
          <w:color w:val="000000" w:themeColor="text1"/>
          <w:sz w:val="22"/>
          <w:szCs w:val="22"/>
        </w:rPr>
        <w:t xml:space="preserve">ошенничество, совершенное организованной группой либо в </w:t>
      </w:r>
      <w:hyperlink r:id="rId21" w:history="1">
        <w:r w:rsidRPr="00717094">
          <w:rPr>
            <w:color w:val="000000" w:themeColor="text1"/>
            <w:sz w:val="22"/>
            <w:szCs w:val="22"/>
          </w:rPr>
          <w:t>особо крупном размере</w:t>
        </w:r>
      </w:hyperlink>
      <w:r w:rsidRPr="00717094">
        <w:rPr>
          <w:color w:val="000000" w:themeColor="text1"/>
          <w:sz w:val="22"/>
          <w:szCs w:val="22"/>
        </w:rPr>
        <w:t xml:space="preserve"> или повлекшее лишение </w:t>
      </w:r>
      <w:hyperlink r:id="rId22" w:history="1">
        <w:r w:rsidRPr="00717094">
          <w:rPr>
            <w:color w:val="000000" w:themeColor="text1"/>
            <w:sz w:val="22"/>
            <w:szCs w:val="22"/>
          </w:rPr>
          <w:t>права</w:t>
        </w:r>
      </w:hyperlink>
      <w:r w:rsidRPr="00717094">
        <w:rPr>
          <w:color w:val="000000" w:themeColor="text1"/>
          <w:sz w:val="22"/>
          <w:szCs w:val="22"/>
        </w:rPr>
        <w:t xml:space="preserve"> гражданина на жилое помещение</w:t>
      </w:r>
      <w:r>
        <w:rPr>
          <w:sz w:val="22"/>
          <w:szCs w:val="22"/>
        </w:rPr>
        <w:t>, и</w:t>
      </w:r>
      <w:r w:rsidRPr="00307C05">
        <w:rPr>
          <w:sz w:val="22"/>
          <w:szCs w:val="22"/>
        </w:rPr>
        <w:t xml:space="preserve"> </w:t>
      </w:r>
      <w:r w:rsidRPr="00717094">
        <w:rPr>
          <w:color w:val="000000" w:themeColor="text1"/>
          <w:sz w:val="22"/>
          <w:szCs w:val="22"/>
        </w:rPr>
        <w:t xml:space="preserve">хищениями (ст. 160 УК РФ), приходятся </w:t>
      </w:r>
      <w:r>
        <w:rPr>
          <w:color w:val="000000" w:themeColor="text1"/>
          <w:sz w:val="22"/>
          <w:szCs w:val="22"/>
        </w:rPr>
        <w:t>не на субъектов сектора.</w:t>
      </w:r>
    </w:p>
    <w:p w:rsidR="002202A1" w:rsidRDefault="002202A1" w:rsidP="002202A1">
      <w:pPr>
        <w:keepLines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2"/>
        </w:rPr>
      </w:pPr>
    </w:p>
    <w:p w:rsidR="002B7A3D" w:rsidRDefault="002B7A3D" w:rsidP="002B7A3D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Анализ данных</w:t>
      </w:r>
      <w:r w:rsidRPr="00307C05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</w:t>
      </w:r>
      <w:r w:rsidRPr="00307C05">
        <w:rPr>
          <w:sz w:val="22"/>
          <w:szCs w:val="22"/>
        </w:rPr>
        <w:t>т, что фигурантами уголовных дел, связанных с незаконным приобретением недвижимого имущества (приобретением на преступные доходы), выступают в большинстве случаев не представители сектора, а преступны</w:t>
      </w:r>
      <w:r>
        <w:rPr>
          <w:sz w:val="22"/>
          <w:szCs w:val="22"/>
        </w:rPr>
        <w:t>е элементы, использующие инфраструктуру сектора.</w:t>
      </w:r>
    </w:p>
    <w:p w:rsidR="002B7A3D" w:rsidRDefault="002B7A3D" w:rsidP="002B7A3D">
      <w:pPr>
        <w:spacing w:after="0" w:line="240" w:lineRule="auto"/>
        <w:jc w:val="both"/>
        <w:rPr>
          <w:sz w:val="22"/>
          <w:szCs w:val="22"/>
        </w:rPr>
      </w:pPr>
    </w:p>
    <w:p w:rsidR="002B7A3D" w:rsidRPr="002669E1" w:rsidRDefault="002B7A3D" w:rsidP="002B7A3D">
      <w:pPr>
        <w:spacing w:after="0" w:line="240" w:lineRule="auto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При этом е</w:t>
      </w:r>
      <w:r w:rsidRPr="002669E1">
        <w:rPr>
          <w:sz w:val="22"/>
          <w:szCs w:val="22"/>
        </w:rPr>
        <w:t>сли говорить более широко о рынке купли/продажи недвижимости, то наибольш</w:t>
      </w:r>
      <w:r>
        <w:rPr>
          <w:sz w:val="22"/>
          <w:szCs w:val="22"/>
        </w:rPr>
        <w:t>ую угрозу</w:t>
      </w:r>
      <w:r w:rsidRPr="002669E1">
        <w:rPr>
          <w:sz w:val="22"/>
          <w:szCs w:val="22"/>
        </w:rPr>
        <w:t xml:space="preserve"> с точки зрения ОД представляют </w:t>
      </w:r>
      <w:r>
        <w:rPr>
          <w:i/>
          <w:sz w:val="22"/>
          <w:szCs w:val="22"/>
        </w:rPr>
        <w:t>инвестиции</w:t>
      </w:r>
      <w:r w:rsidRPr="002669E1">
        <w:rPr>
          <w:sz w:val="22"/>
          <w:szCs w:val="22"/>
        </w:rPr>
        <w:t xml:space="preserve"> </w:t>
      </w:r>
      <w:r w:rsidRPr="000B6DA4">
        <w:rPr>
          <w:i/>
          <w:sz w:val="22"/>
          <w:szCs w:val="22"/>
        </w:rPr>
        <w:t xml:space="preserve">в строительство </w:t>
      </w:r>
      <w:r w:rsidRPr="00CB1F52">
        <w:rPr>
          <w:sz w:val="22"/>
          <w:szCs w:val="22"/>
        </w:rPr>
        <w:t>(как правило без привлече</w:t>
      </w:r>
      <w:r w:rsidRPr="00CB1F52">
        <w:rPr>
          <w:sz w:val="22"/>
          <w:szCs w:val="22"/>
        </w:rPr>
        <w:t>ния риелторов)</w:t>
      </w:r>
      <w:r w:rsidRPr="002669E1">
        <w:rPr>
          <w:sz w:val="22"/>
          <w:szCs w:val="22"/>
        </w:rPr>
        <w:t xml:space="preserve">, а также </w:t>
      </w:r>
      <w:r w:rsidRPr="00CB1F52">
        <w:rPr>
          <w:i/>
          <w:sz w:val="22"/>
          <w:szCs w:val="22"/>
        </w:rPr>
        <w:t>инвестирование сомнительного капитала в объекты недвижимости за рубежом</w:t>
      </w:r>
      <w:r>
        <w:rPr>
          <w:sz w:val="22"/>
          <w:szCs w:val="22"/>
        </w:rPr>
        <w:t>.</w:t>
      </w:r>
    </w:p>
    <w:p w:rsidR="002B7A3D" w:rsidRDefault="002B7A3D" w:rsidP="002B7A3D">
      <w:pPr>
        <w:spacing w:after="0" w:line="240" w:lineRule="auto"/>
        <w:jc w:val="both"/>
        <w:rPr>
          <w:sz w:val="22"/>
          <w:szCs w:val="22"/>
        </w:rPr>
      </w:pPr>
    </w:p>
    <w:p w:rsidR="002B7A3D" w:rsidRDefault="002B7A3D" w:rsidP="002B7A3D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частности, угроза «отмывания</w:t>
      </w:r>
      <w:r w:rsidRPr="002669E1">
        <w:rPr>
          <w:sz w:val="22"/>
          <w:szCs w:val="22"/>
        </w:rPr>
        <w:t>»</w:t>
      </w:r>
      <w:r>
        <w:rPr>
          <w:sz w:val="22"/>
          <w:szCs w:val="22"/>
        </w:rPr>
        <w:t xml:space="preserve"> преступных доходов, </w:t>
      </w:r>
      <w:r w:rsidRPr="002669E1">
        <w:rPr>
          <w:sz w:val="22"/>
          <w:szCs w:val="22"/>
        </w:rPr>
        <w:t xml:space="preserve">посредством </w:t>
      </w:r>
      <w:r w:rsidRPr="00643164">
        <w:rPr>
          <w:sz w:val="22"/>
          <w:szCs w:val="22"/>
        </w:rPr>
        <w:t>вложения денежных средств, прошедших этап расслоения в ликвидные активы</w:t>
      </w:r>
      <w:r>
        <w:rPr>
          <w:sz w:val="22"/>
          <w:szCs w:val="22"/>
        </w:rPr>
        <w:t xml:space="preserve"> </w:t>
      </w:r>
      <w:r w:rsidRPr="00643164">
        <w:rPr>
          <w:sz w:val="22"/>
          <w:szCs w:val="22"/>
        </w:rPr>
        <w:t>за рубежом</w:t>
      </w:r>
      <w:r>
        <w:rPr>
          <w:sz w:val="22"/>
          <w:szCs w:val="22"/>
        </w:rPr>
        <w:t>, в значительной мере нивелирована за счет:</w:t>
      </w:r>
    </w:p>
    <w:p w:rsidR="002B7A3D" w:rsidRDefault="002B7A3D" w:rsidP="002B7A3D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B7A3D" w:rsidRDefault="002B7A3D" w:rsidP="002B7A3D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таможенного законодательства – декларирование наличных денежных сумм (дорожных чеков), превышающих 10 тыс. долл. США, при пересечении границы;</w:t>
      </w:r>
    </w:p>
    <w:p w:rsidR="002B7A3D" w:rsidRDefault="002B7A3D" w:rsidP="002B7A3D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B7A3D" w:rsidRDefault="002B7A3D" w:rsidP="002B7A3D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контроля кредитных организаций – при совершении операции за объекты недвижимости за рубежом, совершаемые в пользу нерезидента Российской Федерации (запрос документов, информации, в т.ч. об источнике происхождения денежных средств).</w:t>
      </w:r>
    </w:p>
    <w:p w:rsidR="002B7A3D" w:rsidRDefault="002B7A3D" w:rsidP="002B7A3D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B7A3D" w:rsidRPr="002669E1" w:rsidRDefault="002B7A3D" w:rsidP="002B7A3D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угроза остается существенной в случае, если расчеты за недвижимость, находящуюся за границей, ведутся со счетов, открытых на резидентов Российской Федерации в зарубежных банках.</w:t>
      </w:r>
    </w:p>
    <w:p w:rsidR="002B7A3D" w:rsidRDefault="002B7A3D" w:rsidP="002B7A3D">
      <w:pPr>
        <w:spacing w:after="0" w:line="240" w:lineRule="auto"/>
        <w:jc w:val="both"/>
        <w:rPr>
          <w:sz w:val="22"/>
          <w:szCs w:val="22"/>
        </w:rPr>
      </w:pPr>
    </w:p>
    <w:p w:rsidR="002B7A3D" w:rsidRDefault="002B7A3D" w:rsidP="002B7A3D">
      <w:pPr>
        <w:spacing w:after="0" w:line="240" w:lineRule="auto"/>
        <w:jc w:val="both"/>
        <w:rPr>
          <w:sz w:val="22"/>
          <w:szCs w:val="22"/>
        </w:rPr>
      </w:pPr>
      <w:r w:rsidRPr="00925BDC">
        <w:rPr>
          <w:sz w:val="22"/>
          <w:szCs w:val="22"/>
        </w:rPr>
        <w:t xml:space="preserve">Потенциально существует угроза ФТ -  </w:t>
      </w:r>
      <w:r>
        <w:rPr>
          <w:sz w:val="22"/>
          <w:szCs w:val="22"/>
        </w:rPr>
        <w:t>приобретение недвижимости и передача его в распоряжение террористам, использование средств, полученных от продажи недвижимости на финансирования террористических групп.</w:t>
      </w:r>
    </w:p>
    <w:p w:rsidR="002B7A3D" w:rsidRDefault="002B7A3D" w:rsidP="002B7A3D">
      <w:pPr>
        <w:spacing w:after="0" w:line="240" w:lineRule="auto"/>
        <w:jc w:val="both"/>
        <w:rPr>
          <w:sz w:val="22"/>
          <w:szCs w:val="22"/>
        </w:rPr>
      </w:pPr>
    </w:p>
    <w:p w:rsidR="002B7A3D" w:rsidRDefault="002B7A3D" w:rsidP="002B7A3D">
      <w:pPr>
        <w:tabs>
          <w:tab w:val="left" w:pos="285"/>
        </w:tabs>
        <w:spacing w:after="0" w:line="240" w:lineRule="auto"/>
        <w:jc w:val="both"/>
        <w:rPr>
          <w:i/>
          <w:sz w:val="22"/>
          <w:szCs w:val="22"/>
        </w:rPr>
      </w:pPr>
      <w:r w:rsidRPr="00A32734">
        <w:rPr>
          <w:b/>
          <w:i/>
          <w:sz w:val="22"/>
          <w:szCs w:val="22"/>
        </w:rPr>
        <w:t>Вывод</w:t>
      </w:r>
      <w:r w:rsidRPr="00A32734">
        <w:rPr>
          <w:i/>
          <w:sz w:val="22"/>
          <w:szCs w:val="22"/>
        </w:rPr>
        <w:t>: в силу совершаемых преступлений с привлечением инфраструктуры сектора</w:t>
      </w:r>
      <w:r>
        <w:rPr>
          <w:i/>
          <w:sz w:val="22"/>
          <w:szCs w:val="22"/>
        </w:rPr>
        <w:t xml:space="preserve"> (недвижимость) у</w:t>
      </w:r>
      <w:r w:rsidRPr="00A32734">
        <w:rPr>
          <w:i/>
          <w:sz w:val="22"/>
          <w:szCs w:val="22"/>
        </w:rPr>
        <w:t xml:space="preserve">ровень угрозы потенциально </w:t>
      </w:r>
      <w:r>
        <w:rPr>
          <w:i/>
          <w:sz w:val="22"/>
          <w:szCs w:val="22"/>
        </w:rPr>
        <w:t xml:space="preserve">повышенный. Вместе с тем, </w:t>
      </w:r>
      <w:r w:rsidRPr="00A32734">
        <w:rPr>
          <w:i/>
          <w:sz w:val="22"/>
          <w:szCs w:val="22"/>
        </w:rPr>
        <w:t xml:space="preserve">в </w:t>
      </w:r>
      <w:r>
        <w:rPr>
          <w:i/>
          <w:sz w:val="22"/>
          <w:szCs w:val="22"/>
        </w:rPr>
        <w:t>существующей действительности</w:t>
      </w:r>
      <w:r w:rsidRPr="00A32734">
        <w:rPr>
          <w:i/>
          <w:sz w:val="22"/>
          <w:szCs w:val="22"/>
        </w:rPr>
        <w:t xml:space="preserve"> риелтор в большинстве случаев не является обязательным участником (стороной) сделки с недвижимостью</w:t>
      </w:r>
      <w:r>
        <w:rPr>
          <w:i/>
          <w:sz w:val="22"/>
          <w:szCs w:val="22"/>
        </w:rPr>
        <w:t>.</w:t>
      </w:r>
    </w:p>
    <w:p w:rsidR="002B7A3D" w:rsidRPr="00925BDC" w:rsidRDefault="002B7A3D" w:rsidP="002B7A3D">
      <w:pPr>
        <w:spacing w:after="0" w:line="240" w:lineRule="auto"/>
        <w:jc w:val="both"/>
        <w:rPr>
          <w:i/>
          <w:sz w:val="22"/>
          <w:szCs w:val="22"/>
        </w:rPr>
        <w:sectPr w:rsidR="002B7A3D" w:rsidRPr="00925BDC" w:rsidSect="002B7A3D">
          <w:headerReference w:type="default" r:id="rId23"/>
          <w:headerReference w:type="first" r:id="rId24"/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2202A1" w:rsidRDefault="002202A1" w:rsidP="002202A1">
      <w:pPr>
        <w:keepLines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2"/>
        </w:rPr>
      </w:pPr>
    </w:p>
    <w:p w:rsidR="002202A1" w:rsidRPr="00307C05" w:rsidRDefault="002202A1" w:rsidP="002202A1">
      <w:pPr>
        <w:keepLines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202A1" w:rsidRPr="00307C05" w:rsidRDefault="002202A1" w:rsidP="002202A1">
      <w:pPr>
        <w:keepLines/>
        <w:spacing w:after="0" w:line="240" w:lineRule="auto"/>
        <w:jc w:val="both"/>
        <w:rPr>
          <w:rFonts w:eastAsia="Calibri"/>
          <w:sz w:val="22"/>
          <w:szCs w:val="22"/>
        </w:rPr>
      </w:pPr>
    </w:p>
    <w:p w:rsidR="002202A1" w:rsidRPr="00307C05" w:rsidRDefault="002202A1" w:rsidP="002202A1">
      <w:pPr>
        <w:spacing w:after="0" w:line="240" w:lineRule="auto"/>
        <w:jc w:val="both"/>
        <w:rPr>
          <w:sz w:val="22"/>
          <w:szCs w:val="22"/>
        </w:rPr>
      </w:pPr>
    </w:p>
    <w:p w:rsidR="002202A1" w:rsidRPr="00307C05" w:rsidRDefault="002202A1" w:rsidP="002202A1">
      <w:pPr>
        <w:spacing w:after="0" w:line="240" w:lineRule="auto"/>
        <w:jc w:val="both"/>
        <w:rPr>
          <w:sz w:val="22"/>
          <w:szCs w:val="22"/>
        </w:rPr>
      </w:pPr>
    </w:p>
    <w:p w:rsidR="002202A1" w:rsidRPr="00307C05" w:rsidRDefault="002202A1" w:rsidP="002202A1">
      <w:pPr>
        <w:spacing w:after="0" w:line="240" w:lineRule="auto"/>
        <w:jc w:val="both"/>
        <w:rPr>
          <w:sz w:val="22"/>
          <w:szCs w:val="22"/>
        </w:rPr>
      </w:pPr>
    </w:p>
    <w:p w:rsidR="00CB1F52" w:rsidRDefault="00CB1F52" w:rsidP="004F1789">
      <w:pPr>
        <w:keepNext/>
        <w:keepLines/>
        <w:suppressAutoHyphens/>
        <w:spacing w:after="0" w:line="240" w:lineRule="auto"/>
        <w:jc w:val="both"/>
        <w:rPr>
          <w:rFonts w:eastAsia="Arial"/>
          <w:color w:val="000000" w:themeColor="text1"/>
          <w:sz w:val="22"/>
          <w:szCs w:val="22"/>
        </w:rPr>
      </w:pPr>
    </w:p>
    <w:p w:rsidR="00CB1F52" w:rsidRDefault="00CB1F52" w:rsidP="00CB1F52">
      <w:pPr>
        <w:spacing w:after="0" w:line="240" w:lineRule="auto"/>
        <w:jc w:val="both"/>
        <w:rPr>
          <w:sz w:val="22"/>
          <w:szCs w:val="22"/>
        </w:rPr>
      </w:pPr>
    </w:p>
    <w:p w:rsidR="0027291E" w:rsidRDefault="0027291E" w:rsidP="00377B3F">
      <w:pPr>
        <w:spacing w:after="0" w:line="240" w:lineRule="auto"/>
        <w:jc w:val="center"/>
        <w:rPr>
          <w:b/>
          <w:sz w:val="24"/>
          <w:szCs w:val="24"/>
        </w:rPr>
        <w:sectPr w:rsidR="0027291E" w:rsidSect="0027291E">
          <w:headerReference w:type="default" r:id="rId25"/>
          <w:headerReference w:type="first" r:id="rId26"/>
          <w:type w:val="continuous"/>
          <w:pgSz w:w="11906" w:h="16838" w:code="9"/>
          <w:pgMar w:top="851" w:right="851" w:bottom="851" w:left="1134" w:header="0" w:footer="284" w:gutter="0"/>
          <w:cols w:num="2" w:space="708"/>
          <w:docGrid w:linePitch="360"/>
        </w:sectPr>
      </w:pPr>
    </w:p>
    <w:p w:rsidR="00A5587A" w:rsidRPr="006744D2" w:rsidRDefault="00A5587A" w:rsidP="00A5587A">
      <w:pPr>
        <w:spacing w:after="0" w:line="240" w:lineRule="auto"/>
        <w:jc w:val="both"/>
        <w:rPr>
          <w:rFonts w:eastAsia="Arial"/>
          <w:b/>
          <w:i/>
          <w:color w:val="365F91" w:themeColor="accent1" w:themeShade="BF"/>
          <w:sz w:val="24"/>
          <w:szCs w:val="24"/>
        </w:rPr>
      </w:pPr>
      <w:r w:rsidRPr="006744D2">
        <w:rPr>
          <w:b/>
          <w:caps/>
          <w:noProof/>
          <w:color w:val="365F91" w:themeColor="accent1" w:themeShade="BF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25078" wp14:editId="4E05DBC4">
                <wp:simplePos x="0" y="0"/>
                <wp:positionH relativeFrom="column">
                  <wp:posOffset>2470785</wp:posOffset>
                </wp:positionH>
                <wp:positionV relativeFrom="paragraph">
                  <wp:posOffset>2539</wp:posOffset>
                </wp:positionV>
                <wp:extent cx="3924300" cy="2276475"/>
                <wp:effectExtent l="0" t="0" r="0" b="95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276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8BF" w:rsidRDefault="000A58BF" w:rsidP="00A5587A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Уязвимость — означает свойство, присущее системе или структуре, которое делает ее «доступной» для незаконного использования в целях ОД/ФТ. </w:t>
                            </w:r>
                          </w:p>
                          <w:p w:rsidR="000A58BF" w:rsidRPr="00A5587A" w:rsidRDefault="000A58BF" w:rsidP="00A5587A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Определение уязвимости, в отличие от угрозы, означает сосредоточение внимания на слабых местах в системе или мерах контроля в сфере ПОД/ФТ или на характеристиках финансовых продуктов (услуг), которые делают их привлекательными для целей ОД/ФТ. При рассмотрении уязвимости (как элементе оценки риска) внимание будет сосредоточено, главным образом, на факторах, способных повысить вероятность совершения ОД/ФТ.</w:t>
                            </w:r>
                          </w:p>
                          <w:p w:rsidR="000A58BF" w:rsidRPr="006744D2" w:rsidRDefault="000A58BF" w:rsidP="00A5587A">
                            <w:pPr>
                              <w:pStyle w:val="af4"/>
                              <w:spacing w:before="0" w:beforeAutospacing="0" w:after="0" w:afterAutospacing="0"/>
                              <w:rPr>
                                <w:i/>
                                <w:color w:val="95B3D7" w:themeColor="accent1" w:themeTint="99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25078" id="Прямоугольник 18" o:spid="_x0000_s1027" style="position:absolute;left:0;text-align:left;margin-left:194.55pt;margin-top:.2pt;width:309pt;height:1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" fillcolor="#f6f8fb [180]" stroked="f" strokeweight="2pt">
                <v:fill color2="#cad9eb [980]" focus="100%" type="gradient"/>
                <v:textbox>
                  <w:txbxContent>
                    <w:p w:rsidR="000A58BF" w:rsidRDefault="000A58BF" w:rsidP="00A5587A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87A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Уязвимость — означает свойство, присущее системе или структуре, которое делает ее «доступной» для незаконного использования в целях ОД/ФТ. </w:t>
                      </w:r>
                    </w:p>
                    <w:p w:rsidR="000A58BF" w:rsidRPr="00A5587A" w:rsidRDefault="000A58BF" w:rsidP="00A5587A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87A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Определение уязвимости, в отличие от угрозы, означает сосредоточение внимания на слабых местах в системе или мерах контроля в сфере ПОД/ФТ или на характеристиках финансовых продуктов (услуг), которые делают их привлекательными для целей ОД/ФТ. При рассмотрении уязвимости (как элементе оценки риска) внимание будет сосредоточено, главным образом, на факторах, способных повысить вероятность совершения ОД/ФТ.</w:t>
                      </w:r>
                    </w:p>
                    <w:p w:rsidR="000A58BF" w:rsidRPr="006744D2" w:rsidRDefault="000A58BF" w:rsidP="00A5587A">
                      <w:pPr>
                        <w:pStyle w:val="af4"/>
                        <w:spacing w:before="0" w:beforeAutospacing="0" w:after="0" w:afterAutospacing="0"/>
                        <w:rPr>
                          <w:i/>
                          <w:color w:val="95B3D7" w:themeColor="accent1" w:themeTint="99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744D2">
        <w:rPr>
          <w:rFonts w:eastAsia="Arial"/>
          <w:b/>
          <w:i/>
          <w:color w:val="365F91" w:themeColor="accent1" w:themeShade="BF"/>
          <w:sz w:val="24"/>
          <w:szCs w:val="24"/>
        </w:rPr>
        <w:t xml:space="preserve">ХАРАКТЕРИСТИКА </w:t>
      </w:r>
    </w:p>
    <w:p w:rsidR="00A5587A" w:rsidRPr="006744D2" w:rsidRDefault="00A5587A" w:rsidP="00A5587A">
      <w:pPr>
        <w:spacing w:after="0" w:line="240" w:lineRule="auto"/>
        <w:jc w:val="both"/>
        <w:rPr>
          <w:rFonts w:eastAsia="Arial"/>
          <w:b/>
          <w:i/>
          <w:color w:val="365F91" w:themeColor="accent1" w:themeShade="BF"/>
          <w:sz w:val="24"/>
          <w:szCs w:val="24"/>
        </w:rPr>
      </w:pPr>
      <w:r w:rsidRPr="006744D2">
        <w:rPr>
          <w:rFonts w:eastAsia="Arial"/>
          <w:b/>
          <w:i/>
          <w:color w:val="365F91" w:themeColor="accent1" w:themeShade="BF"/>
          <w:sz w:val="24"/>
          <w:szCs w:val="24"/>
        </w:rPr>
        <w:t xml:space="preserve">УЯЗВИМОСТЕЙ </w:t>
      </w:r>
    </w:p>
    <w:p w:rsidR="00A5587A" w:rsidRPr="005F0D86" w:rsidRDefault="00A5587A" w:rsidP="00A5587A">
      <w:pPr>
        <w:spacing w:after="0" w:line="240" w:lineRule="auto"/>
        <w:jc w:val="both"/>
        <w:rPr>
          <w:rFonts w:eastAsia="Arial"/>
          <w:color w:val="404040" w:themeColor="text1" w:themeTint="BF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A5587A" w:rsidRPr="005F0D86" w:rsidTr="00216603">
        <w:tc>
          <w:tcPr>
            <w:tcW w:w="279" w:type="dxa"/>
          </w:tcPr>
          <w:p w:rsidR="00A5587A" w:rsidRPr="005F0D86" w:rsidRDefault="00A5587A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00"/>
          </w:tcPr>
          <w:p w:rsidR="00A5587A" w:rsidRPr="005F0D86" w:rsidRDefault="00A5587A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4" w:type="dxa"/>
          </w:tcPr>
          <w:p w:rsidR="00A5587A" w:rsidRPr="005F0D86" w:rsidRDefault="00A5587A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</w:tcPr>
          <w:p w:rsidR="00A5587A" w:rsidRPr="005F0D86" w:rsidRDefault="00A5587A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A5587A" w:rsidRPr="00D736F1" w:rsidRDefault="00A5587A" w:rsidP="00A5587A">
      <w:pPr>
        <w:spacing w:after="0" w:line="240" w:lineRule="auto"/>
        <w:jc w:val="both"/>
        <w:rPr>
          <w:rFonts w:eastAsia="Arial"/>
          <w:i/>
          <w:color w:val="000000" w:themeColor="text1"/>
          <w:sz w:val="28"/>
          <w:szCs w:val="28"/>
        </w:rPr>
      </w:pPr>
      <w:r w:rsidRPr="00D736F1">
        <w:rPr>
          <w:rFonts w:eastAsia="Arial"/>
          <w:i/>
          <w:color w:val="000000" w:themeColor="text1"/>
          <w:sz w:val="28"/>
          <w:szCs w:val="28"/>
        </w:rPr>
        <w:t>Умеренный уровень</w:t>
      </w:r>
    </w:p>
    <w:p w:rsidR="00A5587A" w:rsidRDefault="00A5587A" w:rsidP="00A5587A">
      <w:pPr>
        <w:spacing w:after="0" w:line="240" w:lineRule="auto"/>
        <w:jc w:val="both"/>
        <w:rPr>
          <w:rFonts w:eastAsia="Arial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jc w:val="both"/>
        <w:rPr>
          <w:rFonts w:eastAsia="Arial"/>
          <w:color w:val="000000" w:themeColor="text1"/>
          <w:sz w:val="28"/>
          <w:szCs w:val="28"/>
        </w:rPr>
      </w:pPr>
    </w:p>
    <w:p w:rsidR="00A5587A" w:rsidRPr="00D736F1" w:rsidRDefault="00A5587A" w:rsidP="00A5587A">
      <w:pPr>
        <w:spacing w:after="0" w:line="240" w:lineRule="auto"/>
        <w:jc w:val="both"/>
        <w:rPr>
          <w:rFonts w:eastAsia="Arial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eastAsia="Arial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eastAsia="Arial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eastAsia="Arial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eastAsia="Arial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9"/>
        <w:jc w:val="both"/>
        <w:rPr>
          <w:rFonts w:eastAsia="Arial"/>
          <w:bCs/>
          <w:i/>
          <w:color w:val="000000" w:themeColor="text1"/>
          <w:sz w:val="28"/>
          <w:szCs w:val="28"/>
        </w:rPr>
        <w:sectPr w:rsidR="00A5587A" w:rsidSect="004F1789">
          <w:headerReference w:type="default" r:id="rId27"/>
          <w:headerReference w:type="first" r:id="rId28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A5587A" w:rsidRPr="00AF0ECF" w:rsidRDefault="00A5587A" w:rsidP="00AF0ECF">
      <w:pPr>
        <w:spacing w:after="0" w:line="240" w:lineRule="auto"/>
        <w:jc w:val="both"/>
        <w:rPr>
          <w:rFonts w:eastAsia="Arial"/>
          <w:i/>
          <w:color w:val="000000" w:themeColor="text1"/>
          <w:sz w:val="22"/>
          <w:szCs w:val="22"/>
        </w:rPr>
      </w:pPr>
      <w:r w:rsidRPr="00AF0ECF">
        <w:rPr>
          <w:rFonts w:eastAsia="Arial"/>
          <w:bCs/>
          <w:i/>
          <w:color w:val="000000" w:themeColor="text1"/>
          <w:sz w:val="22"/>
          <w:szCs w:val="22"/>
        </w:rPr>
        <w:t xml:space="preserve">Проведена оценка уязвимости сектора </w:t>
      </w:r>
      <w:r w:rsidRPr="00AF0ECF">
        <w:rPr>
          <w:rFonts w:eastAsia="Arial"/>
          <w:i/>
          <w:color w:val="000000" w:themeColor="text1"/>
          <w:sz w:val="22"/>
          <w:szCs w:val="22"/>
        </w:rPr>
        <w:t>на предмет удобства и видимости каналов, позволяющих реализоваться угрозам.</w:t>
      </w:r>
    </w:p>
    <w:p w:rsidR="00A5587A" w:rsidRPr="00AF0ECF" w:rsidRDefault="00A5587A" w:rsidP="00AF0ECF">
      <w:pPr>
        <w:spacing w:after="0" w:line="240" w:lineRule="auto"/>
        <w:jc w:val="both"/>
        <w:rPr>
          <w:rFonts w:eastAsia="Arial"/>
          <w:i/>
          <w:color w:val="000000" w:themeColor="text1"/>
          <w:sz w:val="22"/>
          <w:szCs w:val="22"/>
        </w:rPr>
      </w:pPr>
    </w:p>
    <w:p w:rsidR="009C08E8" w:rsidRDefault="00932C3F" w:rsidP="002D260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002BFB" w:rsidRPr="00002BFB">
        <w:rPr>
          <w:sz w:val="22"/>
          <w:szCs w:val="22"/>
        </w:rPr>
        <w:t xml:space="preserve"> силу </w:t>
      </w:r>
      <w:r w:rsidR="00336DF9">
        <w:rPr>
          <w:sz w:val="22"/>
          <w:szCs w:val="22"/>
        </w:rPr>
        <w:t>использования инфраструктуры сектора</w:t>
      </w:r>
      <w:r w:rsidR="009C08E8">
        <w:rPr>
          <w:sz w:val="22"/>
          <w:szCs w:val="22"/>
        </w:rPr>
        <w:t xml:space="preserve"> (недвижимость)</w:t>
      </w:r>
      <w:r w:rsidR="00336DF9">
        <w:rPr>
          <w:sz w:val="22"/>
          <w:szCs w:val="22"/>
        </w:rPr>
        <w:t xml:space="preserve"> в противоправных схемах, причиняющих у</w:t>
      </w:r>
      <w:r w:rsidR="009C08E8">
        <w:rPr>
          <w:sz w:val="22"/>
          <w:szCs w:val="22"/>
        </w:rPr>
        <w:t>щерб непосредственно гражданам</w:t>
      </w:r>
      <w:r>
        <w:rPr>
          <w:sz w:val="22"/>
          <w:szCs w:val="22"/>
        </w:rPr>
        <w:t>,</w:t>
      </w:r>
      <w:r w:rsidR="00336DF9">
        <w:rPr>
          <w:sz w:val="22"/>
          <w:szCs w:val="22"/>
        </w:rPr>
        <w:t xml:space="preserve"> Росфинмониторингом уделя</w:t>
      </w:r>
      <w:r w:rsidR="00B821F2">
        <w:rPr>
          <w:sz w:val="22"/>
          <w:szCs w:val="22"/>
        </w:rPr>
        <w:t>ется</w:t>
      </w:r>
      <w:r w:rsidR="00336DF9">
        <w:rPr>
          <w:sz w:val="22"/>
          <w:szCs w:val="22"/>
        </w:rPr>
        <w:t xml:space="preserve"> повышенное внимание к данному сектору</w:t>
      </w:r>
      <w:r w:rsidR="002D2600">
        <w:rPr>
          <w:sz w:val="22"/>
          <w:szCs w:val="22"/>
        </w:rPr>
        <w:t>.</w:t>
      </w:r>
    </w:p>
    <w:p w:rsidR="002D2600" w:rsidRDefault="002D2600" w:rsidP="002D2600">
      <w:pPr>
        <w:spacing w:after="0" w:line="240" w:lineRule="auto"/>
        <w:jc w:val="both"/>
        <w:rPr>
          <w:sz w:val="22"/>
          <w:szCs w:val="22"/>
        </w:rPr>
      </w:pPr>
    </w:p>
    <w:p w:rsidR="002D2600" w:rsidRDefault="002D2600" w:rsidP="002D2600">
      <w:pPr>
        <w:spacing w:after="0" w:line="240" w:lineRule="auto"/>
        <w:jc w:val="both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Росфинмониторинг</w:t>
      </w:r>
      <w:r w:rsidRPr="002D2600">
        <w:rPr>
          <w:sz w:val="22"/>
          <w:szCs w:val="22"/>
        </w:rPr>
        <w:t xml:space="preserve"> </w:t>
      </w:r>
      <w:r>
        <w:rPr>
          <w:sz w:val="22"/>
          <w:szCs w:val="22"/>
        </w:rPr>
        <w:t>осуществляет меры надзорного реагирования в отношении субъектов сектора</w:t>
      </w:r>
      <w:r>
        <w:rPr>
          <w:rFonts w:eastAsiaTheme="minorEastAsia"/>
          <w:sz w:val="22"/>
          <w:szCs w:val="22"/>
        </w:rPr>
        <w:t>,</w:t>
      </w:r>
      <w:r w:rsidRPr="00AF0ECF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используя метод риск-ориентированного подхода, во </w:t>
      </w:r>
      <w:r w:rsidRPr="00AF0ECF">
        <w:rPr>
          <w:rFonts w:eastAsiaTheme="minorEastAsia"/>
          <w:sz w:val="22"/>
          <w:szCs w:val="22"/>
        </w:rPr>
        <w:t>взаимодействи</w:t>
      </w:r>
      <w:r>
        <w:rPr>
          <w:rFonts w:eastAsiaTheme="minorEastAsia"/>
          <w:sz w:val="22"/>
          <w:szCs w:val="22"/>
        </w:rPr>
        <w:t>и</w:t>
      </w:r>
      <w:r w:rsidRPr="00AF0ECF">
        <w:rPr>
          <w:rFonts w:eastAsiaTheme="minorEastAsia"/>
          <w:sz w:val="22"/>
          <w:szCs w:val="22"/>
        </w:rPr>
        <w:t xml:space="preserve"> с органами </w:t>
      </w:r>
      <w:r>
        <w:rPr>
          <w:rFonts w:eastAsiaTheme="minorEastAsia"/>
          <w:sz w:val="22"/>
          <w:szCs w:val="22"/>
        </w:rPr>
        <w:t xml:space="preserve">Прокуратуры, </w:t>
      </w:r>
      <w:r w:rsidR="00336DF9">
        <w:rPr>
          <w:sz w:val="22"/>
          <w:szCs w:val="22"/>
        </w:rPr>
        <w:t>что обуславливает наибольшую долю проведенных проверок.</w:t>
      </w:r>
    </w:p>
    <w:p w:rsidR="00A075C3" w:rsidRDefault="00A075C3" w:rsidP="00AF0ECF">
      <w:pPr>
        <w:spacing w:after="0" w:line="240" w:lineRule="auto"/>
        <w:jc w:val="both"/>
        <w:rPr>
          <w:sz w:val="22"/>
          <w:szCs w:val="22"/>
        </w:rPr>
      </w:pPr>
    </w:p>
    <w:p w:rsidR="001250EE" w:rsidRDefault="00606BF5" w:rsidP="001250EE">
      <w:pPr>
        <w:spacing w:after="0" w:line="240" w:lineRule="auto"/>
        <w:jc w:val="both"/>
      </w:pPr>
      <w:r w:rsidRPr="00892459">
        <w:rPr>
          <w:sz w:val="22"/>
          <w:szCs w:val="22"/>
        </w:rPr>
        <w:t>Ввиду актуальности вопроса использования функционала Личного кабинета, Росфинмониторингом уделяется повышенное внимание профилактическим мероприятиям, включающим вопросы разъяснения преимущества работы в нем:  ознакомление с информационными материалами, принятие участия в «добровольном сотрудничестве», получение доступа к полному</w:t>
      </w:r>
      <w:r w:rsidR="003958A6">
        <w:rPr>
          <w:sz w:val="22"/>
          <w:szCs w:val="22"/>
        </w:rPr>
        <w:t xml:space="preserve"> </w:t>
      </w:r>
      <w:r w:rsidRPr="00892459">
        <w:rPr>
          <w:sz w:val="22"/>
          <w:szCs w:val="22"/>
        </w:rPr>
        <w:t xml:space="preserve">Перечню организаций, физических лиц, в отношении которых имеются сведения об их причастности к экстремистской деятельности или терроризму (далее – Перечень), направление </w:t>
      </w:r>
      <w:r w:rsidR="00BF366C" w:rsidRPr="00053BC1">
        <w:rPr>
          <w:sz w:val="22"/>
          <w:szCs w:val="22"/>
        </w:rPr>
        <w:t>сведений</w:t>
      </w:r>
      <w:r w:rsidR="00BF366C">
        <w:rPr>
          <w:sz w:val="22"/>
          <w:szCs w:val="22"/>
        </w:rPr>
        <w:t xml:space="preserve"> </w:t>
      </w:r>
      <w:r w:rsidR="00BF366C">
        <w:rPr>
          <w:sz w:val="22"/>
          <w:szCs w:val="22"/>
        </w:rPr>
        <w:t>по операциям, подлежащим обязательному</w:t>
      </w:r>
      <w:r w:rsidR="00BF366C" w:rsidRPr="00053BC1">
        <w:rPr>
          <w:sz w:val="22"/>
          <w:szCs w:val="22"/>
        </w:rPr>
        <w:t xml:space="preserve"> контрол</w:t>
      </w:r>
      <w:r w:rsidR="00BF366C">
        <w:rPr>
          <w:sz w:val="22"/>
          <w:szCs w:val="22"/>
        </w:rPr>
        <w:t>ю,</w:t>
      </w:r>
      <w:r w:rsidR="00BF366C" w:rsidRPr="00053BC1">
        <w:rPr>
          <w:sz w:val="22"/>
          <w:szCs w:val="22"/>
        </w:rPr>
        <w:t xml:space="preserve"> и</w:t>
      </w:r>
      <w:r w:rsidR="00BF366C" w:rsidRPr="00892459">
        <w:rPr>
          <w:sz w:val="22"/>
          <w:szCs w:val="22"/>
        </w:rPr>
        <w:t xml:space="preserve"> </w:t>
      </w:r>
      <w:r w:rsidRPr="00892459">
        <w:rPr>
          <w:sz w:val="22"/>
          <w:szCs w:val="22"/>
        </w:rPr>
        <w:t>о сомнительных операциях в Росфинмониторинг, а также направление информации о результатах проверки своих клиентов, в отношении которых применены либо должны применяться меры по замораживанию (блокированию) денежных средств или иного имущества</w:t>
      </w:r>
      <w:r w:rsidR="001250EE">
        <w:rPr>
          <w:sz w:val="22"/>
          <w:szCs w:val="22"/>
        </w:rPr>
        <w:t xml:space="preserve"> </w:t>
      </w:r>
      <w:r w:rsidR="001250EE">
        <w:t>(ФЭС-3).</w:t>
      </w:r>
    </w:p>
    <w:p w:rsidR="001250EE" w:rsidRDefault="001250EE" w:rsidP="001250EE">
      <w:pPr>
        <w:spacing w:after="0" w:line="240" w:lineRule="auto"/>
        <w:jc w:val="both"/>
      </w:pPr>
    </w:p>
    <w:p w:rsidR="001250EE" w:rsidRDefault="00491554" w:rsidP="00491554">
      <w:pPr>
        <w:spacing w:after="0" w:line="24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Главный результат</w:t>
      </w:r>
      <w:r w:rsidR="001250EE" w:rsidRPr="003D53D0">
        <w:rPr>
          <w:rFonts w:eastAsia="TimesNewRomanPSMT"/>
          <w:sz w:val="22"/>
          <w:szCs w:val="22"/>
        </w:rPr>
        <w:t xml:space="preserve"> проведения </w:t>
      </w:r>
      <w:r>
        <w:rPr>
          <w:rFonts w:eastAsia="TimesNewRomanPSMT"/>
          <w:sz w:val="22"/>
          <w:szCs w:val="22"/>
        </w:rPr>
        <w:t xml:space="preserve">указанных </w:t>
      </w:r>
      <w:r w:rsidRPr="002D2600">
        <w:rPr>
          <w:rFonts w:eastAsia="TimesNewRomanPSMT"/>
          <w:sz w:val="22"/>
          <w:szCs w:val="22"/>
        </w:rPr>
        <w:t>мероприятий</w:t>
      </w:r>
      <w:r w:rsidRPr="002D2600">
        <w:rPr>
          <w:sz w:val="22"/>
          <w:szCs w:val="22"/>
        </w:rPr>
        <w:t xml:space="preserve"> </w:t>
      </w:r>
      <w:r>
        <w:rPr>
          <w:sz w:val="22"/>
          <w:szCs w:val="22"/>
        </w:rPr>
        <w:t>- в</w:t>
      </w:r>
      <w:r w:rsidRPr="002D2600">
        <w:rPr>
          <w:sz w:val="22"/>
          <w:szCs w:val="22"/>
        </w:rPr>
        <w:t xml:space="preserve"> настоящее время сектор</w:t>
      </w:r>
      <w:r w:rsidRPr="002D2600">
        <w:rPr>
          <w:i/>
          <w:sz w:val="22"/>
          <w:szCs w:val="22"/>
        </w:rPr>
        <w:t xml:space="preserve"> </w:t>
      </w:r>
      <w:r w:rsidRPr="002D2600">
        <w:rPr>
          <w:sz w:val="22"/>
          <w:szCs w:val="22"/>
        </w:rPr>
        <w:t xml:space="preserve">в целом </w:t>
      </w:r>
      <w:r>
        <w:rPr>
          <w:sz w:val="22"/>
          <w:szCs w:val="22"/>
        </w:rPr>
        <w:t>вовлечен</w:t>
      </w:r>
      <w:r w:rsidRPr="002D2600">
        <w:rPr>
          <w:sz w:val="22"/>
          <w:szCs w:val="22"/>
        </w:rPr>
        <w:t xml:space="preserve"> в систему ПОД/ФТ, несмотря на отсутствие специальных требований (разрешительной системы) для работы на рынке недвижимости.</w:t>
      </w:r>
      <w:r>
        <w:rPr>
          <w:sz w:val="22"/>
          <w:szCs w:val="22"/>
        </w:rPr>
        <w:t xml:space="preserve"> </w:t>
      </w:r>
      <w:r w:rsidR="00CA3C59">
        <w:rPr>
          <w:sz w:val="22"/>
          <w:szCs w:val="22"/>
        </w:rPr>
        <w:t xml:space="preserve">  </w:t>
      </w:r>
      <w:r>
        <w:rPr>
          <w:rFonts w:eastAsia="TimesNewRomanPSMT"/>
          <w:sz w:val="22"/>
          <w:szCs w:val="22"/>
        </w:rPr>
        <w:t>Н</w:t>
      </w:r>
      <w:r w:rsidRPr="003D53D0">
        <w:rPr>
          <w:rFonts w:eastAsia="TimesNewRomanPSMT"/>
          <w:sz w:val="22"/>
          <w:szCs w:val="22"/>
        </w:rPr>
        <w:t>а начало 2018 года</w:t>
      </w:r>
      <w:r>
        <w:rPr>
          <w:rFonts w:eastAsia="TimesNewRomanPSMT"/>
          <w:sz w:val="22"/>
          <w:szCs w:val="22"/>
        </w:rPr>
        <w:t xml:space="preserve"> </w:t>
      </w:r>
      <w:r w:rsidRPr="003D53D0">
        <w:rPr>
          <w:rFonts w:eastAsia="TimesNewRomanPSMT"/>
          <w:sz w:val="22"/>
          <w:szCs w:val="22"/>
        </w:rPr>
        <w:t>уровня законопослушности субъектов сектора</w:t>
      </w:r>
      <w:r>
        <w:rPr>
          <w:rFonts w:eastAsia="TimesNewRomanPSMT"/>
          <w:sz w:val="22"/>
          <w:szCs w:val="22"/>
        </w:rPr>
        <w:t xml:space="preserve"> повысился на 6% (в сравнении с 2016-2017 гг.), </w:t>
      </w:r>
      <w:r w:rsidR="001250EE" w:rsidRPr="003D53D0">
        <w:rPr>
          <w:rFonts w:eastAsia="TimesNewRomanPSMT"/>
          <w:sz w:val="22"/>
          <w:szCs w:val="22"/>
        </w:rPr>
        <w:t>в том числе за счет использовани</w:t>
      </w:r>
      <w:r>
        <w:rPr>
          <w:rFonts w:eastAsia="TimesNewRomanPSMT"/>
          <w:sz w:val="22"/>
          <w:szCs w:val="22"/>
        </w:rPr>
        <w:t>я функционала Личного кабинета.</w:t>
      </w:r>
    </w:p>
    <w:p w:rsidR="00CA3C59" w:rsidRDefault="00CA3C59" w:rsidP="00491554">
      <w:pPr>
        <w:spacing w:after="0" w:line="240" w:lineRule="auto"/>
        <w:jc w:val="both"/>
        <w:rPr>
          <w:rFonts w:eastAsia="TimesNewRomanPSMT"/>
          <w:sz w:val="22"/>
          <w:szCs w:val="22"/>
        </w:rPr>
      </w:pPr>
    </w:p>
    <w:p w:rsidR="00CA3C59" w:rsidRPr="003D53D0" w:rsidRDefault="00CA3C59" w:rsidP="00491554">
      <w:pPr>
        <w:spacing w:after="0" w:line="240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Результаты мониторинга сектора и проверочной деятельности Росфинмониторинга показывают, что основными причинами допускаемых риэлторами нарушений обязательных требований являются недостаточное знание (понимание) нормативных правовых актов в сфере ПОД/ФТ и (или) несвоевременное ознакомление с внесенными в них изменениями.</w:t>
      </w:r>
    </w:p>
    <w:p w:rsidR="001250EE" w:rsidRDefault="001250EE" w:rsidP="001250E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</w:rPr>
      </w:pPr>
    </w:p>
    <w:p w:rsidR="003958A6" w:rsidRDefault="003958A6" w:rsidP="003958A6">
      <w:pPr>
        <w:spacing w:after="0" w:line="240" w:lineRule="auto"/>
        <w:jc w:val="center"/>
        <w:rPr>
          <w:i/>
          <w:sz w:val="22"/>
          <w:szCs w:val="22"/>
        </w:rPr>
      </w:pPr>
    </w:p>
    <w:p w:rsidR="001250EE" w:rsidRDefault="001250EE" w:rsidP="003958A6">
      <w:pPr>
        <w:spacing w:after="0" w:line="240" w:lineRule="auto"/>
        <w:jc w:val="center"/>
        <w:rPr>
          <w:i/>
          <w:sz w:val="22"/>
          <w:szCs w:val="22"/>
        </w:rPr>
      </w:pPr>
    </w:p>
    <w:p w:rsidR="001250EE" w:rsidRDefault="001250EE" w:rsidP="003958A6">
      <w:pPr>
        <w:spacing w:after="0" w:line="240" w:lineRule="auto"/>
        <w:jc w:val="center"/>
        <w:rPr>
          <w:i/>
          <w:sz w:val="22"/>
          <w:szCs w:val="22"/>
        </w:rPr>
        <w:sectPr w:rsidR="001250EE" w:rsidSect="00412B4B">
          <w:type w:val="continuous"/>
          <w:pgSz w:w="11906" w:h="16838"/>
          <w:pgMar w:top="851" w:right="851" w:bottom="851" w:left="1134" w:header="0" w:footer="454" w:gutter="0"/>
          <w:cols w:num="2" w:space="708"/>
          <w:docGrid w:linePitch="360"/>
        </w:sectPr>
      </w:pPr>
    </w:p>
    <w:p w:rsidR="001250EE" w:rsidRDefault="001250EE" w:rsidP="003958A6">
      <w:pPr>
        <w:spacing w:after="0" w:line="240" w:lineRule="auto"/>
        <w:jc w:val="center"/>
        <w:rPr>
          <w:i/>
          <w:sz w:val="22"/>
          <w:szCs w:val="22"/>
        </w:rPr>
      </w:pPr>
    </w:p>
    <w:p w:rsidR="001250EE" w:rsidRDefault="001250EE" w:rsidP="003958A6">
      <w:pPr>
        <w:spacing w:after="0" w:line="240" w:lineRule="auto"/>
        <w:jc w:val="center"/>
        <w:rPr>
          <w:i/>
          <w:sz w:val="22"/>
          <w:szCs w:val="22"/>
        </w:rPr>
      </w:pPr>
    </w:p>
    <w:p w:rsidR="001250EE" w:rsidRDefault="001250EE" w:rsidP="003958A6">
      <w:pPr>
        <w:spacing w:after="0" w:line="240" w:lineRule="auto"/>
        <w:jc w:val="center"/>
        <w:rPr>
          <w:i/>
          <w:sz w:val="22"/>
          <w:szCs w:val="22"/>
        </w:rPr>
      </w:pPr>
    </w:p>
    <w:p w:rsidR="001250EE" w:rsidRDefault="001250EE" w:rsidP="003958A6">
      <w:pPr>
        <w:spacing w:after="0" w:line="240" w:lineRule="auto"/>
        <w:jc w:val="center"/>
        <w:rPr>
          <w:i/>
          <w:sz w:val="22"/>
          <w:szCs w:val="22"/>
        </w:rPr>
      </w:pPr>
    </w:p>
    <w:p w:rsidR="001250EE" w:rsidRDefault="001250EE" w:rsidP="003958A6">
      <w:pPr>
        <w:spacing w:after="0" w:line="240" w:lineRule="auto"/>
        <w:jc w:val="center"/>
        <w:rPr>
          <w:i/>
          <w:sz w:val="22"/>
          <w:szCs w:val="22"/>
        </w:rPr>
      </w:pPr>
    </w:p>
    <w:p w:rsidR="001250EE" w:rsidRDefault="001250EE" w:rsidP="003958A6">
      <w:pPr>
        <w:spacing w:after="0" w:line="240" w:lineRule="auto"/>
        <w:jc w:val="center"/>
        <w:rPr>
          <w:i/>
          <w:sz w:val="22"/>
          <w:szCs w:val="22"/>
        </w:rPr>
      </w:pPr>
    </w:p>
    <w:p w:rsidR="001250EE" w:rsidRDefault="001250EE" w:rsidP="003958A6">
      <w:pPr>
        <w:spacing w:after="0" w:line="240" w:lineRule="auto"/>
        <w:jc w:val="center"/>
        <w:rPr>
          <w:i/>
          <w:sz w:val="22"/>
          <w:szCs w:val="22"/>
        </w:rPr>
      </w:pPr>
    </w:p>
    <w:p w:rsidR="001250EE" w:rsidRDefault="001250EE" w:rsidP="003958A6">
      <w:pPr>
        <w:spacing w:after="0" w:line="240" w:lineRule="auto"/>
        <w:jc w:val="center"/>
        <w:rPr>
          <w:i/>
          <w:sz w:val="22"/>
          <w:szCs w:val="22"/>
        </w:rPr>
      </w:pPr>
    </w:p>
    <w:p w:rsidR="00E11BA6" w:rsidRDefault="00E11BA6" w:rsidP="00E11BA6">
      <w:pPr>
        <w:jc w:val="both"/>
        <w:sectPr w:rsidR="00E11BA6" w:rsidSect="00F901D4">
          <w:type w:val="continuous"/>
          <w:pgSz w:w="11906" w:h="16838"/>
          <w:pgMar w:top="851" w:right="851" w:bottom="851" w:left="1134" w:header="0" w:footer="454" w:gutter="0"/>
          <w:cols w:space="708"/>
          <w:docGrid w:linePitch="360"/>
        </w:sectPr>
      </w:pPr>
    </w:p>
    <w:p w:rsidR="00412B4B" w:rsidRDefault="00412B4B" w:rsidP="003958A6">
      <w:pPr>
        <w:pStyle w:val="a6"/>
        <w:spacing w:after="0" w:line="240" w:lineRule="auto"/>
        <w:ind w:left="0"/>
        <w:jc w:val="both"/>
        <w:rPr>
          <w:rFonts w:ascii="Times New Roman" w:eastAsia="Arial" w:hAnsi="Times New Roman"/>
          <w:i/>
          <w:color w:val="404040" w:themeColor="text1" w:themeTint="BF"/>
          <w:sz w:val="28"/>
          <w:szCs w:val="28"/>
        </w:rPr>
      </w:pPr>
    </w:p>
    <w:p w:rsidR="00CA3C59" w:rsidRDefault="00CA3C59" w:rsidP="003958A6">
      <w:pPr>
        <w:pStyle w:val="a6"/>
        <w:spacing w:after="0" w:line="240" w:lineRule="auto"/>
        <w:ind w:left="0"/>
        <w:jc w:val="both"/>
        <w:rPr>
          <w:rFonts w:ascii="Times New Roman" w:eastAsia="Arial" w:hAnsi="Times New Roman"/>
          <w:i/>
          <w:color w:val="404040" w:themeColor="text1" w:themeTint="BF"/>
          <w:sz w:val="28"/>
          <w:szCs w:val="28"/>
        </w:rPr>
      </w:pPr>
    </w:p>
    <w:p w:rsidR="00CA3C59" w:rsidRDefault="00CA3C59" w:rsidP="003958A6">
      <w:pPr>
        <w:pStyle w:val="a6"/>
        <w:spacing w:after="0" w:line="240" w:lineRule="auto"/>
        <w:ind w:left="0"/>
        <w:jc w:val="both"/>
        <w:rPr>
          <w:rFonts w:ascii="Times New Roman" w:eastAsia="Arial" w:hAnsi="Times New Roman"/>
          <w:i/>
          <w:color w:val="404040" w:themeColor="text1" w:themeTint="BF"/>
          <w:sz w:val="28"/>
          <w:szCs w:val="28"/>
        </w:rPr>
      </w:pPr>
    </w:p>
    <w:p w:rsidR="00CA3C59" w:rsidRDefault="00CA3C59" w:rsidP="003958A6">
      <w:pPr>
        <w:pStyle w:val="a6"/>
        <w:spacing w:after="0" w:line="240" w:lineRule="auto"/>
        <w:ind w:left="0"/>
        <w:jc w:val="both"/>
        <w:rPr>
          <w:rFonts w:ascii="Times New Roman" w:eastAsia="Arial" w:hAnsi="Times New Roman"/>
          <w:i/>
          <w:color w:val="404040" w:themeColor="text1" w:themeTint="BF"/>
          <w:sz w:val="28"/>
          <w:szCs w:val="28"/>
        </w:rPr>
      </w:pPr>
    </w:p>
    <w:p w:rsidR="00CA3C59" w:rsidRDefault="00CA3C59" w:rsidP="003958A6">
      <w:pPr>
        <w:pStyle w:val="a6"/>
        <w:spacing w:after="0" w:line="240" w:lineRule="auto"/>
        <w:ind w:left="0"/>
        <w:jc w:val="both"/>
        <w:rPr>
          <w:rFonts w:ascii="Times New Roman" w:eastAsia="Arial" w:hAnsi="Times New Roman"/>
          <w:i/>
          <w:color w:val="404040" w:themeColor="text1" w:themeTint="BF"/>
          <w:sz w:val="28"/>
          <w:szCs w:val="28"/>
        </w:rPr>
      </w:pPr>
    </w:p>
    <w:p w:rsidR="00CA3C59" w:rsidRDefault="00CA3C59" w:rsidP="003958A6">
      <w:pPr>
        <w:pStyle w:val="a6"/>
        <w:spacing w:after="0" w:line="240" w:lineRule="auto"/>
        <w:ind w:left="0"/>
        <w:jc w:val="both"/>
        <w:rPr>
          <w:rFonts w:ascii="Times New Roman" w:eastAsia="Arial" w:hAnsi="Times New Roman"/>
          <w:i/>
          <w:color w:val="404040" w:themeColor="text1" w:themeTint="BF"/>
          <w:sz w:val="28"/>
          <w:szCs w:val="28"/>
        </w:rPr>
      </w:pPr>
    </w:p>
    <w:p w:rsidR="00CA3C59" w:rsidRDefault="00CA3C59" w:rsidP="003958A6">
      <w:pPr>
        <w:pStyle w:val="a6"/>
        <w:spacing w:after="0" w:line="240" w:lineRule="auto"/>
        <w:ind w:left="0"/>
        <w:jc w:val="both"/>
        <w:rPr>
          <w:rFonts w:ascii="Times New Roman" w:eastAsia="Arial" w:hAnsi="Times New Roman"/>
          <w:i/>
          <w:color w:val="404040" w:themeColor="text1" w:themeTint="BF"/>
          <w:sz w:val="28"/>
          <w:szCs w:val="28"/>
        </w:rPr>
        <w:sectPr w:rsidR="00CA3C59" w:rsidSect="00F901D4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CC3AE1" w:rsidRDefault="00412B4B" w:rsidP="00412B4B">
      <w:pPr>
        <w:spacing w:after="0" w:line="240" w:lineRule="auto"/>
        <w:jc w:val="center"/>
        <w:rPr>
          <w:b/>
          <w:sz w:val="24"/>
          <w:szCs w:val="24"/>
        </w:rPr>
      </w:pPr>
      <w:r w:rsidRPr="00742D92">
        <w:rPr>
          <w:b/>
          <w:sz w:val="24"/>
          <w:szCs w:val="24"/>
        </w:rPr>
        <w:t>Табл. Основные нарушения, выявленные по результатам проверок в 2017 году</w:t>
      </w:r>
    </w:p>
    <w:p w:rsidR="00BF366C" w:rsidRDefault="00BF366C" w:rsidP="00412B4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5098"/>
        <w:gridCol w:w="4962"/>
      </w:tblGrid>
      <w:tr w:rsidR="00E11BA6" w:rsidRPr="00AD69E8" w:rsidTr="000F1552">
        <w:trPr>
          <w:trHeight w:val="310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E11BA6" w:rsidRPr="00ED3BF5" w:rsidRDefault="00E11BA6" w:rsidP="000A58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3BF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нарушения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, допущенные риэлторами</w:t>
            </w:r>
          </w:p>
        </w:tc>
      </w:tr>
      <w:tr w:rsidR="00E11BA6" w:rsidRPr="00412B4B" w:rsidTr="000F1552">
        <w:trPr>
          <w:trHeight w:val="66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11BA6" w:rsidRPr="00412B4B" w:rsidRDefault="00E11BA6" w:rsidP="000A58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12B4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Возбужденные дела об АП в соответствии с ч.</w:t>
            </w:r>
            <w:r w:rsidR="000F155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12B4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</w:t>
            </w:r>
            <w:r w:rsidR="00394D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</w:t>
            </w:r>
            <w:r w:rsidRPr="00412B4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ст. 15.27 КоАП РФ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E11BA6" w:rsidRPr="00412B4B" w:rsidRDefault="00E11BA6" w:rsidP="000F15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12B4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Возбужденные дела об АП в соответствии с ч. 2 ст. 15.27 КоАП РФ</w:t>
            </w:r>
          </w:p>
        </w:tc>
      </w:tr>
      <w:tr w:rsidR="00E11BA6" w:rsidRPr="003D76A9" w:rsidTr="000F1552">
        <w:trPr>
          <w:trHeight w:val="69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A6" w:rsidRPr="00412B4B" w:rsidRDefault="00E11BA6" w:rsidP="000A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color w:val="222222"/>
              </w:rPr>
            </w:pPr>
            <w:r w:rsidRPr="00412B4B">
              <w:rPr>
                <w:color w:val="222222"/>
              </w:rPr>
              <w:t>Невыполнение требований по идентификации клиентов, представителей клиентов, выгодоприобретателей и бенефициарных владельцев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A6" w:rsidRPr="00412B4B" w:rsidRDefault="00E11BA6" w:rsidP="000A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color w:val="222222"/>
              </w:rPr>
            </w:pPr>
            <w:r w:rsidRPr="00412B4B">
              <w:rPr>
                <w:color w:val="222222"/>
              </w:rPr>
              <w:t>Нарушение порядка и сроков предоставления сведений об операциях, подлежащих обязательному контролю</w:t>
            </w:r>
          </w:p>
        </w:tc>
      </w:tr>
      <w:tr w:rsidR="00E11BA6" w:rsidRPr="003D76A9" w:rsidTr="000F1552">
        <w:trPr>
          <w:trHeight w:val="916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A6" w:rsidRPr="00412B4B" w:rsidRDefault="00E11BA6" w:rsidP="000A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22222"/>
              </w:rPr>
            </w:pPr>
            <w:r w:rsidRPr="00412B4B">
              <w:rPr>
                <w:color w:val="222222"/>
              </w:rPr>
              <w:t>Непроведение (несвоевременное проведение) систематической проверки (раз в три месяца) клиентов на наличие принятия мер по замораживанию (блокированию) денежных средств или иного имущества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A6" w:rsidRPr="00412B4B" w:rsidRDefault="00E11BA6" w:rsidP="000A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12B4B">
              <w:rPr>
                <w:color w:val="222222"/>
              </w:rPr>
              <w:t>Нарушение в части выявления операций, имеющих признаки сомнительности</w:t>
            </w:r>
          </w:p>
        </w:tc>
      </w:tr>
      <w:tr w:rsidR="00E11BA6" w:rsidRPr="003D76A9" w:rsidTr="000F1552">
        <w:trPr>
          <w:trHeight w:val="89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A6" w:rsidRPr="00412B4B" w:rsidRDefault="00E11BA6" w:rsidP="000A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color w:val="222222"/>
              </w:rPr>
            </w:pPr>
            <w:r w:rsidRPr="00412B4B">
              <w:rPr>
                <w:color w:val="222222"/>
              </w:rPr>
              <w:t>Отсутствие в организации постоянной работы с перечнем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A6" w:rsidRPr="00412B4B" w:rsidRDefault="00E11BA6" w:rsidP="0041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</w:pPr>
            <w:r w:rsidRPr="00412B4B">
              <w:rPr>
                <w:color w:val="222222"/>
              </w:rPr>
              <w:t>Невыполнение требований по идентификации клиентов, представителей клиентов, выгодоприобретателей и бенефициарных владельцев</w:t>
            </w:r>
          </w:p>
        </w:tc>
      </w:tr>
      <w:tr w:rsidR="00E11BA6" w:rsidRPr="003D76A9" w:rsidTr="000F1552">
        <w:trPr>
          <w:trHeight w:val="931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A6" w:rsidRPr="00412B4B" w:rsidRDefault="00412B4B" w:rsidP="000A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color w:val="222222"/>
              </w:rPr>
            </w:pPr>
            <w:r w:rsidRPr="008C3A6A">
              <w:rPr>
                <w:rFonts w:eastAsia="Times New Roman"/>
                <w:color w:val="000000"/>
                <w:lang w:eastAsia="ru-RU"/>
              </w:rPr>
              <w:t>Отсутствие Правил внутреннего контроля (далее – ПВК) / Несоответствие ПВК требованиям законодательства Российской Федерации о ПОД/ФТ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A6" w:rsidRPr="00412B4B" w:rsidRDefault="00E11BA6" w:rsidP="000A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22222"/>
              </w:rPr>
            </w:pPr>
            <w:r w:rsidRPr="00412B4B">
              <w:rPr>
                <w:color w:val="222222"/>
              </w:rPr>
              <w:t>Непроведение (несвоевременное проведение) систематической проверки (раз в три месяца) клиентов на наличие принятия мер по замораживанию (блокированию) денежных средств или иного имущества</w:t>
            </w:r>
          </w:p>
        </w:tc>
      </w:tr>
      <w:tr w:rsidR="00E11BA6" w:rsidRPr="003D76A9" w:rsidTr="000F1552">
        <w:trPr>
          <w:trHeight w:val="726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A6" w:rsidRPr="00412B4B" w:rsidRDefault="00E11BA6" w:rsidP="000A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22222"/>
                <w:highlight w:val="yellow"/>
              </w:rPr>
            </w:pPr>
            <w:r w:rsidRPr="00412B4B">
              <w:rPr>
                <w:color w:val="222222"/>
              </w:rPr>
              <w:t>Отсутствие или несвоевременное прохождение обучения в форме целевого инструктажа, внутреннего обучения сотрудников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A6" w:rsidRPr="00412B4B" w:rsidRDefault="00E11BA6" w:rsidP="000A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22222"/>
              </w:rPr>
            </w:pPr>
            <w:r w:rsidRPr="00412B4B">
              <w:rPr>
                <w:color w:val="222222"/>
              </w:rPr>
              <w:t>Отсутствие ПВК</w:t>
            </w:r>
          </w:p>
        </w:tc>
      </w:tr>
    </w:tbl>
    <w:p w:rsidR="00412B4B" w:rsidRDefault="00412B4B" w:rsidP="00336DF9">
      <w:pPr>
        <w:spacing w:after="0" w:line="240" w:lineRule="auto"/>
        <w:jc w:val="both"/>
        <w:rPr>
          <w:sz w:val="22"/>
          <w:szCs w:val="22"/>
          <w:highlight w:val="yellow"/>
        </w:rPr>
      </w:pPr>
    </w:p>
    <w:p w:rsidR="00C8466C" w:rsidRDefault="00C8466C" w:rsidP="009B2F40">
      <w:pPr>
        <w:spacing w:after="0" w:line="264" w:lineRule="auto"/>
        <w:ind w:firstLine="709"/>
        <w:jc w:val="both"/>
        <w:rPr>
          <w:sz w:val="22"/>
          <w:szCs w:val="22"/>
          <w:highlight w:val="yellow"/>
        </w:rPr>
        <w:sectPr w:rsidR="00C8466C" w:rsidSect="00B66212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CA3C59" w:rsidRDefault="009B2F40" w:rsidP="00CA3C59">
      <w:pPr>
        <w:spacing w:after="0" w:line="240" w:lineRule="auto"/>
        <w:jc w:val="both"/>
        <w:rPr>
          <w:sz w:val="22"/>
          <w:szCs w:val="22"/>
        </w:rPr>
      </w:pPr>
      <w:r w:rsidRPr="003B1FD8">
        <w:rPr>
          <w:sz w:val="22"/>
          <w:szCs w:val="22"/>
        </w:rPr>
        <w:t>В настоящее время о</w:t>
      </w:r>
      <w:r w:rsidR="00336DF9" w:rsidRPr="003B1FD8">
        <w:rPr>
          <w:sz w:val="22"/>
          <w:szCs w:val="22"/>
        </w:rPr>
        <w:t xml:space="preserve">сновным фактором уязвимости является </w:t>
      </w:r>
      <w:r w:rsidR="00350A1A" w:rsidRPr="003B1FD8">
        <w:rPr>
          <w:sz w:val="22"/>
          <w:szCs w:val="22"/>
        </w:rPr>
        <w:t>высокая ликвидность недвижимости, сравнительно низкие транзакционные издержки ее использования в качестве объекта инвестиций. Кроме того, уязвимостью выступает возможность расчетов физическим лицом за наличные средства в сделках с недвижимостью (главным образом, на вторичном рынке).</w:t>
      </w:r>
    </w:p>
    <w:p w:rsidR="00CA3C59" w:rsidRDefault="00CA3C59" w:rsidP="00CA3C59">
      <w:pPr>
        <w:spacing w:after="0" w:line="240" w:lineRule="auto"/>
        <w:jc w:val="both"/>
        <w:rPr>
          <w:sz w:val="22"/>
          <w:szCs w:val="22"/>
        </w:rPr>
      </w:pPr>
    </w:p>
    <w:p w:rsidR="00394DBE" w:rsidRDefault="00350A1A" w:rsidP="00CA3C59">
      <w:pPr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3B1FD8">
        <w:rPr>
          <w:sz w:val="22"/>
          <w:szCs w:val="22"/>
        </w:rPr>
        <w:t>При этом следует отметить, что в связи с развитием электронных средств платежа в последние годы прослеживается устойчивая тенденция сокра</w:t>
      </w:r>
      <w:r w:rsidR="00BF6AB7" w:rsidRPr="003B1FD8">
        <w:rPr>
          <w:sz w:val="22"/>
          <w:szCs w:val="22"/>
        </w:rPr>
        <w:t>щения объема наличных операций.</w:t>
      </w:r>
      <w:r w:rsidR="00CA3C59">
        <w:rPr>
          <w:sz w:val="22"/>
          <w:szCs w:val="22"/>
        </w:rPr>
        <w:t xml:space="preserve"> </w:t>
      </w:r>
      <w:r w:rsidR="00BF6AB7" w:rsidRPr="003B1FD8">
        <w:rPr>
          <w:rFonts w:eastAsiaTheme="minorEastAsia"/>
          <w:sz w:val="22"/>
          <w:szCs w:val="22"/>
        </w:rPr>
        <w:t>Развитие рынка недвижимости определяет и меры контроля за действиями его уча</w:t>
      </w:r>
      <w:r w:rsidR="00394DBE">
        <w:rPr>
          <w:rFonts w:eastAsiaTheme="minorEastAsia"/>
          <w:sz w:val="22"/>
          <w:szCs w:val="22"/>
        </w:rPr>
        <w:t>стников:</w:t>
      </w:r>
    </w:p>
    <w:p w:rsidR="00394DBE" w:rsidRDefault="00394DBE" w:rsidP="00CA3C59">
      <w:pPr>
        <w:spacing w:after="0" w:line="24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-</w:t>
      </w:r>
      <w:r w:rsidR="00BF6AB7" w:rsidRPr="003B1FD8">
        <w:rPr>
          <w:rFonts w:eastAsiaTheme="minorEastAsia"/>
          <w:sz w:val="22"/>
          <w:szCs w:val="22"/>
        </w:rPr>
        <w:t xml:space="preserve"> операции </w:t>
      </w:r>
      <w:r w:rsidR="009E7A10" w:rsidRPr="003B1FD8">
        <w:rPr>
          <w:rFonts w:eastAsiaTheme="minorEastAsia"/>
          <w:sz w:val="22"/>
          <w:szCs w:val="22"/>
        </w:rPr>
        <w:t>купли-продажи недвижимого имущества в безналичной форме</w:t>
      </w:r>
      <w:r w:rsidR="00BF6AB7" w:rsidRPr="003B1FD8">
        <w:rPr>
          <w:rFonts w:eastAsiaTheme="minorEastAsia"/>
          <w:sz w:val="22"/>
          <w:szCs w:val="22"/>
        </w:rPr>
        <w:t xml:space="preserve"> </w:t>
      </w:r>
      <w:r w:rsidR="009E7A10" w:rsidRPr="003B1FD8">
        <w:rPr>
          <w:rFonts w:eastAsiaTheme="minorEastAsia"/>
          <w:sz w:val="22"/>
          <w:szCs w:val="22"/>
        </w:rPr>
        <w:t xml:space="preserve">совершаются </w:t>
      </w:r>
      <w:r w:rsidR="00BF6AB7" w:rsidRPr="003B1FD8">
        <w:rPr>
          <w:rFonts w:eastAsiaTheme="minorEastAsia"/>
          <w:sz w:val="22"/>
          <w:szCs w:val="22"/>
        </w:rPr>
        <w:t xml:space="preserve">при участии кредитной организации, </w:t>
      </w:r>
      <w:r w:rsidR="009E7A10" w:rsidRPr="003B1FD8">
        <w:rPr>
          <w:rFonts w:eastAsiaTheme="minorEastAsia"/>
          <w:sz w:val="22"/>
          <w:szCs w:val="22"/>
        </w:rPr>
        <w:t>что</w:t>
      </w:r>
      <w:r w:rsidR="00BF6AB7" w:rsidRPr="003B1FD8">
        <w:rPr>
          <w:rFonts w:eastAsiaTheme="minorEastAsia"/>
          <w:sz w:val="22"/>
          <w:szCs w:val="22"/>
        </w:rPr>
        <w:t xml:space="preserve"> яв</w:t>
      </w:r>
      <w:r>
        <w:rPr>
          <w:rFonts w:eastAsiaTheme="minorEastAsia"/>
          <w:sz w:val="22"/>
          <w:szCs w:val="22"/>
        </w:rPr>
        <w:t>ляется дополнительным контролем;</w:t>
      </w:r>
    </w:p>
    <w:p w:rsidR="00CA3C59" w:rsidRDefault="00394DBE" w:rsidP="00CA3C59">
      <w:pPr>
        <w:spacing w:after="0" w:line="240" w:lineRule="auto"/>
        <w:jc w:val="both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- </w:t>
      </w:r>
      <w:r w:rsidR="00350A1A" w:rsidRPr="003B1FD8">
        <w:rPr>
          <w:sz w:val="22"/>
          <w:szCs w:val="22"/>
        </w:rPr>
        <w:t>операции с недвижимостью свыше 3 млн руб. подлежат обязательному контролю и направлению сведений о них в Росфинмониторинг.</w:t>
      </w:r>
      <w:r w:rsidR="00CA3C59">
        <w:rPr>
          <w:sz w:val="22"/>
          <w:szCs w:val="22"/>
        </w:rPr>
        <w:t xml:space="preserve"> </w:t>
      </w:r>
    </w:p>
    <w:p w:rsidR="00D935DC" w:rsidRDefault="000F1552" w:rsidP="00CA3C59">
      <w:pPr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0F1552">
        <w:rPr>
          <w:rFonts w:eastAsiaTheme="minorEastAsia"/>
          <w:sz w:val="22"/>
          <w:szCs w:val="22"/>
        </w:rPr>
        <w:t>Кроме того, неотъемлемую роль в проверке данных и законности операций при совершении сделок с недвижимым имуществом играет нотариус</w:t>
      </w:r>
      <w:r w:rsidR="007C5682">
        <w:rPr>
          <w:rFonts w:eastAsiaTheme="minorEastAsia"/>
          <w:sz w:val="22"/>
          <w:szCs w:val="22"/>
        </w:rPr>
        <w:t>. Н</w:t>
      </w:r>
      <w:r>
        <w:rPr>
          <w:rFonts w:eastAsiaTheme="minorEastAsia"/>
          <w:sz w:val="22"/>
          <w:szCs w:val="22"/>
        </w:rPr>
        <w:t xml:space="preserve">апример, </w:t>
      </w:r>
      <w:r w:rsidR="007C5682">
        <w:rPr>
          <w:rFonts w:eastAsiaTheme="minorEastAsia"/>
          <w:sz w:val="22"/>
          <w:szCs w:val="22"/>
        </w:rPr>
        <w:t xml:space="preserve">в присутствии нотариуса совершаются </w:t>
      </w:r>
      <w:r>
        <w:rPr>
          <w:rFonts w:eastAsiaTheme="minorEastAsia"/>
          <w:sz w:val="22"/>
          <w:szCs w:val="22"/>
        </w:rPr>
        <w:t xml:space="preserve">сделки, </w:t>
      </w:r>
      <w:r w:rsidRPr="000F1552">
        <w:rPr>
          <w:rFonts w:eastAsiaTheme="minorEastAsia"/>
          <w:sz w:val="22"/>
          <w:szCs w:val="22"/>
        </w:rPr>
        <w:t>касающиеся отчуждения недвижимого имущества, находящегося в собственности у несовершеннолетнего или ограниченно дееспособного лица</w:t>
      </w:r>
      <w:r>
        <w:rPr>
          <w:rFonts w:eastAsiaTheme="minorEastAsia"/>
          <w:sz w:val="22"/>
          <w:szCs w:val="22"/>
        </w:rPr>
        <w:t xml:space="preserve">; </w:t>
      </w:r>
      <w:r w:rsidRPr="000F1552">
        <w:rPr>
          <w:rFonts w:eastAsiaTheme="minorEastAsia"/>
          <w:sz w:val="22"/>
          <w:szCs w:val="22"/>
        </w:rPr>
        <w:t>связанные с распоряжением недвижимостью, в которых лица действуют на основании доверительного управления или права опеки</w:t>
      </w:r>
      <w:r>
        <w:rPr>
          <w:rFonts w:eastAsiaTheme="minorEastAsia"/>
          <w:sz w:val="22"/>
          <w:szCs w:val="22"/>
        </w:rPr>
        <w:t>).</w:t>
      </w:r>
    </w:p>
    <w:p w:rsidR="00CA3C59" w:rsidRDefault="00CA3C59" w:rsidP="00CA3C59">
      <w:pPr>
        <w:spacing w:after="0" w:line="240" w:lineRule="auto"/>
        <w:jc w:val="both"/>
        <w:rPr>
          <w:rFonts w:eastAsiaTheme="minorEastAsia"/>
          <w:sz w:val="22"/>
          <w:szCs w:val="22"/>
        </w:rPr>
      </w:pPr>
    </w:p>
    <w:p w:rsidR="00CA0242" w:rsidRPr="00BF366C" w:rsidRDefault="00350A1A" w:rsidP="00CA3C59">
      <w:pPr>
        <w:spacing w:after="0" w:line="240" w:lineRule="auto"/>
        <w:jc w:val="both"/>
        <w:sectPr w:rsidR="00CA0242" w:rsidRPr="00BF366C" w:rsidSect="00CA3C59">
          <w:type w:val="continuous"/>
          <w:pgSz w:w="11906" w:h="16838"/>
          <w:pgMar w:top="851" w:right="849" w:bottom="851" w:left="1134" w:header="0" w:footer="283" w:gutter="0"/>
          <w:cols w:num="2" w:space="283"/>
          <w:docGrid w:linePitch="360"/>
        </w:sectPr>
      </w:pPr>
      <w:r w:rsidRPr="003B1FD8">
        <w:rPr>
          <w:rFonts w:eastAsiaTheme="minorEastAsia"/>
          <w:b/>
          <w:i/>
          <w:sz w:val="22"/>
          <w:szCs w:val="22"/>
        </w:rPr>
        <w:t>Вывод:</w:t>
      </w:r>
      <w:r w:rsidRPr="003B1FD8">
        <w:rPr>
          <w:rFonts w:eastAsiaTheme="minorEastAsia"/>
          <w:i/>
          <w:sz w:val="22"/>
          <w:szCs w:val="22"/>
        </w:rPr>
        <w:t xml:space="preserve"> </w:t>
      </w:r>
      <w:r w:rsidR="003B1FD8" w:rsidRPr="003B1FD8">
        <w:rPr>
          <w:rFonts w:eastAsiaTheme="minorEastAsia"/>
          <w:i/>
          <w:sz w:val="22"/>
          <w:szCs w:val="22"/>
        </w:rPr>
        <w:t xml:space="preserve">относительная легкость доступа на рынок позволяет недобросовестным участникам использовать его инфраструктуру в </w:t>
      </w:r>
      <w:r w:rsidR="00A32734">
        <w:rPr>
          <w:rFonts w:eastAsiaTheme="minorEastAsia"/>
          <w:i/>
          <w:sz w:val="22"/>
          <w:szCs w:val="22"/>
        </w:rPr>
        <w:t>«</w:t>
      </w:r>
      <w:r w:rsidR="003B1FD8" w:rsidRPr="003B1FD8">
        <w:rPr>
          <w:rFonts w:eastAsiaTheme="minorEastAsia"/>
          <w:i/>
          <w:sz w:val="22"/>
          <w:szCs w:val="22"/>
        </w:rPr>
        <w:t>теневых</w:t>
      </w:r>
      <w:r w:rsidR="00A32734">
        <w:rPr>
          <w:rFonts w:eastAsiaTheme="minorEastAsia"/>
          <w:i/>
          <w:sz w:val="22"/>
          <w:szCs w:val="22"/>
        </w:rPr>
        <w:t>»</w:t>
      </w:r>
      <w:r w:rsidR="003B1FD8" w:rsidRPr="003B1FD8">
        <w:rPr>
          <w:rFonts w:eastAsiaTheme="minorEastAsia"/>
          <w:i/>
          <w:sz w:val="22"/>
          <w:szCs w:val="22"/>
        </w:rPr>
        <w:t xml:space="preserve"> схемах</w:t>
      </w:r>
      <w:r w:rsidR="00DC71A2">
        <w:rPr>
          <w:rFonts w:eastAsiaTheme="minorEastAsia"/>
          <w:i/>
          <w:sz w:val="22"/>
          <w:szCs w:val="22"/>
        </w:rPr>
        <w:t>. Вместе с тем оценка</w:t>
      </w:r>
      <w:r w:rsidR="00C8466C" w:rsidRPr="003B1FD8">
        <w:rPr>
          <w:rFonts w:eastAsia="Arial"/>
          <w:i/>
          <w:color w:val="000000" w:themeColor="text1"/>
          <w:sz w:val="22"/>
          <w:szCs w:val="22"/>
        </w:rPr>
        <w:t xml:space="preserve"> уровня законопо</w:t>
      </w:r>
      <w:r w:rsidR="00DC71A2">
        <w:rPr>
          <w:rFonts w:eastAsia="Arial"/>
          <w:i/>
          <w:color w:val="000000" w:themeColor="text1"/>
          <w:sz w:val="22"/>
          <w:szCs w:val="22"/>
        </w:rPr>
        <w:t>слушности в секторе, формируемая</w:t>
      </w:r>
      <w:r w:rsidR="00C8466C" w:rsidRPr="003B1FD8">
        <w:rPr>
          <w:rFonts w:eastAsia="Arial"/>
          <w:i/>
          <w:color w:val="000000" w:themeColor="text1"/>
          <w:sz w:val="22"/>
          <w:szCs w:val="22"/>
        </w:rPr>
        <w:t xml:space="preserve"> в режиме дистанцио</w:t>
      </w:r>
      <w:r w:rsidR="00DC71A2">
        <w:rPr>
          <w:rFonts w:eastAsia="Arial"/>
          <w:i/>
          <w:color w:val="000000" w:themeColor="text1"/>
          <w:sz w:val="22"/>
          <w:szCs w:val="22"/>
        </w:rPr>
        <w:t>нного мониторинга и в результате</w:t>
      </w:r>
      <w:r w:rsidR="00C8466C" w:rsidRPr="003B1FD8">
        <w:rPr>
          <w:rFonts w:eastAsia="Arial"/>
          <w:i/>
          <w:color w:val="000000" w:themeColor="text1"/>
          <w:sz w:val="22"/>
          <w:szCs w:val="22"/>
        </w:rPr>
        <w:t xml:space="preserve"> проверочных мероприятий в отношении его субъектов</w:t>
      </w:r>
      <w:r w:rsidR="00C8466C" w:rsidRPr="003B1FD8">
        <w:rPr>
          <w:rStyle w:val="a5"/>
          <w:rFonts w:eastAsia="Arial"/>
          <w:i/>
          <w:color w:val="000000" w:themeColor="text1"/>
          <w:sz w:val="22"/>
          <w:szCs w:val="22"/>
        </w:rPr>
        <w:footnoteReference w:id="1"/>
      </w:r>
      <w:r w:rsidR="00DC71A2">
        <w:rPr>
          <w:rFonts w:eastAsia="Arial"/>
          <w:i/>
          <w:color w:val="000000" w:themeColor="text1"/>
          <w:sz w:val="22"/>
          <w:szCs w:val="22"/>
        </w:rPr>
        <w:t>, позволяе</w:t>
      </w:r>
      <w:r w:rsidR="00C8466C" w:rsidRPr="003B1FD8">
        <w:rPr>
          <w:rFonts w:eastAsia="Arial"/>
          <w:i/>
          <w:color w:val="000000" w:themeColor="text1"/>
          <w:sz w:val="22"/>
          <w:szCs w:val="22"/>
        </w:rPr>
        <w:t>т сделать вывод</w:t>
      </w:r>
      <w:r w:rsidR="003B1FD8" w:rsidRPr="003B1FD8">
        <w:rPr>
          <w:rFonts w:eastAsia="Arial"/>
          <w:i/>
          <w:color w:val="000000" w:themeColor="text1"/>
          <w:sz w:val="22"/>
          <w:szCs w:val="22"/>
        </w:rPr>
        <w:t xml:space="preserve"> об умеренном уровне уязвимости</w:t>
      </w:r>
      <w:r w:rsidR="00394DBE">
        <w:rPr>
          <w:rFonts w:eastAsia="Arial"/>
          <w:i/>
          <w:color w:val="000000" w:themeColor="text1"/>
          <w:sz w:val="22"/>
          <w:szCs w:val="22"/>
        </w:rPr>
        <w:t>.</w:t>
      </w:r>
    </w:p>
    <w:p w:rsidR="00CA3C59" w:rsidRDefault="00CA3C59" w:rsidP="00CA3C59">
      <w:pPr>
        <w:spacing w:after="0" w:line="264" w:lineRule="auto"/>
        <w:jc w:val="both"/>
        <w:rPr>
          <w:color w:val="000000"/>
        </w:rPr>
        <w:sectPr w:rsidR="00CA3C59" w:rsidSect="00CA3C59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CA3C59" w:rsidRDefault="00CA3C59" w:rsidP="00E11BA6">
      <w:pPr>
        <w:spacing w:after="0" w:line="264" w:lineRule="auto"/>
        <w:ind w:firstLine="709"/>
        <w:jc w:val="both"/>
        <w:rPr>
          <w:color w:val="000000"/>
        </w:rPr>
        <w:sectPr w:rsidR="00CA3C59" w:rsidSect="005754EA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E11BA6" w:rsidRPr="003B1FD8" w:rsidRDefault="00E11BA6" w:rsidP="00E11BA6">
      <w:pPr>
        <w:spacing w:after="0" w:line="264" w:lineRule="auto"/>
        <w:ind w:firstLine="709"/>
        <w:jc w:val="both"/>
        <w:rPr>
          <w:color w:val="000000"/>
        </w:rPr>
      </w:pPr>
    </w:p>
    <w:bookmarkEnd w:id="2"/>
    <w:p w:rsidR="003958A6" w:rsidRDefault="003958A6" w:rsidP="001053F0">
      <w:pPr>
        <w:rPr>
          <w:b/>
          <w:i/>
          <w:color w:val="365F91" w:themeColor="accent1" w:themeShade="BF"/>
          <w:sz w:val="24"/>
          <w:szCs w:val="24"/>
        </w:rPr>
      </w:pPr>
    </w:p>
    <w:p w:rsidR="003958A6" w:rsidRDefault="003958A6" w:rsidP="001053F0">
      <w:pPr>
        <w:rPr>
          <w:b/>
          <w:i/>
          <w:color w:val="365F91" w:themeColor="accent1" w:themeShade="BF"/>
          <w:sz w:val="24"/>
          <w:szCs w:val="24"/>
        </w:rPr>
      </w:pPr>
    </w:p>
    <w:p w:rsidR="001053F0" w:rsidRPr="006744D2" w:rsidRDefault="001053F0" w:rsidP="001053F0">
      <w:pPr>
        <w:rPr>
          <w:b/>
          <w:i/>
          <w:color w:val="365F91" w:themeColor="accent1" w:themeShade="BF"/>
          <w:sz w:val="24"/>
          <w:szCs w:val="24"/>
        </w:rPr>
      </w:pPr>
      <w:r w:rsidRPr="006744D2">
        <w:rPr>
          <w:b/>
          <w:i/>
          <w:color w:val="365F91" w:themeColor="accent1" w:themeShade="BF"/>
          <w:sz w:val="24"/>
          <w:szCs w:val="24"/>
        </w:rPr>
        <w:lastRenderedPageBreak/>
        <w:t xml:space="preserve">УРОВЕНЬ </w:t>
      </w:r>
      <w:r w:rsidR="00E02AE2">
        <w:rPr>
          <w:b/>
          <w:i/>
          <w:color w:val="365F91" w:themeColor="accent1" w:themeShade="BF"/>
          <w:sz w:val="24"/>
          <w:szCs w:val="24"/>
        </w:rPr>
        <w:t>РИСКА ИСПОЛЬЗОВАНИЯ СЕКТОРА В СХЕМАХ ОД</w:t>
      </w:r>
      <w:r w:rsidRPr="006744D2">
        <w:rPr>
          <w:b/>
          <w:i/>
          <w:color w:val="365F91" w:themeColor="accent1" w:themeShade="BF"/>
          <w:sz w:val="24"/>
          <w:szCs w:val="24"/>
        </w:rPr>
        <w:t xml:space="preserve">/ФТ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1053F0" w:rsidRPr="005F0D86" w:rsidTr="00BD3798">
        <w:tc>
          <w:tcPr>
            <w:tcW w:w="279" w:type="dxa"/>
            <w:shd w:val="clear" w:color="auto" w:fill="auto"/>
          </w:tcPr>
          <w:p w:rsidR="001053F0" w:rsidRPr="005F0D86" w:rsidRDefault="001053F0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00"/>
          </w:tcPr>
          <w:p w:rsidR="001053F0" w:rsidRPr="005F0D86" w:rsidRDefault="001053F0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1053F0" w:rsidRPr="005F0D86" w:rsidRDefault="001053F0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3F0" w:rsidRPr="005F0D86" w:rsidRDefault="001053F0" w:rsidP="00216603">
            <w:pPr>
              <w:jc w:val="both"/>
              <w:rPr>
                <w:rFonts w:eastAsia="Arial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1053F0" w:rsidRDefault="00D5297A" w:rsidP="001053F0">
      <w:pPr>
        <w:spacing w:after="0" w:line="240" w:lineRule="auto"/>
        <w:jc w:val="both"/>
        <w:rPr>
          <w:rFonts w:eastAsia="Arial"/>
          <w:i/>
          <w:color w:val="404040" w:themeColor="text1" w:themeTint="BF"/>
          <w:sz w:val="28"/>
          <w:szCs w:val="28"/>
        </w:rPr>
      </w:pPr>
      <w:r>
        <w:rPr>
          <w:rFonts w:eastAsia="Arial"/>
          <w:i/>
          <w:color w:val="404040" w:themeColor="text1" w:themeTint="BF"/>
          <w:sz w:val="28"/>
          <w:szCs w:val="28"/>
        </w:rPr>
        <w:t>Умеренный</w:t>
      </w:r>
      <w:r w:rsidR="001053F0" w:rsidRPr="0039040F">
        <w:rPr>
          <w:rFonts w:eastAsia="Arial"/>
          <w:i/>
          <w:color w:val="404040" w:themeColor="text1" w:themeTint="BF"/>
          <w:sz w:val="28"/>
          <w:szCs w:val="28"/>
        </w:rPr>
        <w:t xml:space="preserve"> уровень</w:t>
      </w:r>
    </w:p>
    <w:p w:rsidR="001053F0" w:rsidRPr="0039040F" w:rsidRDefault="001053F0" w:rsidP="001053F0">
      <w:pPr>
        <w:spacing w:after="0" w:line="240" w:lineRule="auto"/>
        <w:jc w:val="both"/>
        <w:rPr>
          <w:rFonts w:eastAsia="Arial"/>
          <w:i/>
          <w:color w:val="404040" w:themeColor="text1" w:themeTint="BF"/>
          <w:sz w:val="28"/>
          <w:szCs w:val="28"/>
        </w:rPr>
      </w:pPr>
    </w:p>
    <w:p w:rsidR="001053F0" w:rsidRDefault="001053F0" w:rsidP="001053F0">
      <w:pPr>
        <w:spacing w:after="0" w:line="240" w:lineRule="auto"/>
        <w:ind w:firstLine="709"/>
        <w:jc w:val="both"/>
        <w:rPr>
          <w:rFonts w:eastAsia="Arial"/>
          <w:bCs/>
          <w:i/>
          <w:color w:val="000000" w:themeColor="text1"/>
          <w:sz w:val="28"/>
          <w:szCs w:val="28"/>
        </w:rPr>
        <w:sectPr w:rsidR="001053F0" w:rsidSect="005754EA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1053F0" w:rsidRPr="006C5542" w:rsidRDefault="001053F0" w:rsidP="006C5542">
      <w:pPr>
        <w:spacing w:after="0" w:line="240" w:lineRule="auto"/>
        <w:jc w:val="both"/>
        <w:rPr>
          <w:rFonts w:eastAsia="Arial"/>
          <w:i/>
          <w:color w:val="000000" w:themeColor="text1"/>
          <w:sz w:val="22"/>
          <w:szCs w:val="22"/>
        </w:rPr>
      </w:pPr>
      <w:r w:rsidRPr="006C5542">
        <w:rPr>
          <w:rFonts w:eastAsia="Arial"/>
          <w:bCs/>
          <w:i/>
          <w:color w:val="000000" w:themeColor="text1"/>
          <w:sz w:val="22"/>
          <w:szCs w:val="22"/>
        </w:rPr>
        <w:t xml:space="preserve">Сопоставление результатов оценки угроз и уязвимостей </w:t>
      </w:r>
      <w:r w:rsidRPr="006C5542">
        <w:rPr>
          <w:rFonts w:eastAsia="Arial"/>
          <w:i/>
          <w:color w:val="000000" w:themeColor="text1"/>
          <w:sz w:val="22"/>
          <w:szCs w:val="22"/>
        </w:rPr>
        <w:t xml:space="preserve">позволило классифицировать риск использования субъектов сектора в схемах </w:t>
      </w:r>
      <w:r w:rsidR="00D6110F" w:rsidRPr="006C5542">
        <w:rPr>
          <w:rFonts w:eastAsia="Arial"/>
          <w:i/>
          <w:color w:val="000000" w:themeColor="text1"/>
          <w:sz w:val="22"/>
          <w:szCs w:val="22"/>
        </w:rPr>
        <w:t>ОД/ФТ, а также выработать меры воздействия</w:t>
      </w:r>
      <w:r w:rsidRPr="006C5542">
        <w:rPr>
          <w:rFonts w:eastAsia="Arial"/>
          <w:i/>
          <w:color w:val="000000" w:themeColor="text1"/>
          <w:sz w:val="22"/>
          <w:szCs w:val="22"/>
        </w:rPr>
        <w:t>.</w:t>
      </w:r>
    </w:p>
    <w:p w:rsidR="0003723C" w:rsidRPr="006C5542" w:rsidRDefault="0003723C" w:rsidP="006C5542">
      <w:pPr>
        <w:pStyle w:val="1"/>
        <w:numPr>
          <w:ilvl w:val="0"/>
          <w:numId w:val="0"/>
        </w:numPr>
        <w:spacing w:before="0" w:after="0" w:line="240" w:lineRule="auto"/>
        <w:ind w:left="360"/>
        <w:jc w:val="both"/>
        <w:rPr>
          <w:color w:val="auto"/>
          <w:sz w:val="22"/>
          <w:szCs w:val="22"/>
        </w:rPr>
      </w:pPr>
    </w:p>
    <w:p w:rsidR="00E828DE" w:rsidRDefault="00F92C59" w:rsidP="006C5542">
      <w:pPr>
        <w:spacing w:after="0" w:line="240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6C5542">
        <w:rPr>
          <w:rFonts w:eastAsia="Arial"/>
          <w:color w:val="000000" w:themeColor="text1"/>
          <w:sz w:val="22"/>
          <w:szCs w:val="22"/>
        </w:rPr>
        <w:t xml:space="preserve">На рынке доминируют </w:t>
      </w:r>
      <w:r w:rsidR="00C42272" w:rsidRPr="006C5542">
        <w:rPr>
          <w:rFonts w:eastAsia="Arial"/>
          <w:color w:val="000000" w:themeColor="text1"/>
          <w:sz w:val="22"/>
          <w:szCs w:val="22"/>
        </w:rPr>
        <w:t>агентства недвижимости</w:t>
      </w:r>
      <w:r w:rsidRPr="006C5542">
        <w:rPr>
          <w:rFonts w:eastAsia="Arial"/>
          <w:color w:val="000000" w:themeColor="text1"/>
          <w:sz w:val="22"/>
          <w:szCs w:val="22"/>
        </w:rPr>
        <w:t xml:space="preserve">, </w:t>
      </w:r>
      <w:r w:rsidR="00C42272" w:rsidRPr="006C5542">
        <w:rPr>
          <w:rFonts w:eastAsia="Arial"/>
          <w:color w:val="000000" w:themeColor="text1"/>
          <w:sz w:val="22"/>
          <w:szCs w:val="22"/>
        </w:rPr>
        <w:t>предоставляющие расширенный спектр услуг, начиная от подбора вариантов недвижимости и заканчивая предложениями строительства и реконструкции</w:t>
      </w:r>
      <w:r w:rsidR="00A42EF3" w:rsidRPr="006C5542">
        <w:rPr>
          <w:rFonts w:eastAsia="Arial"/>
          <w:color w:val="000000" w:themeColor="text1"/>
          <w:sz w:val="22"/>
          <w:szCs w:val="22"/>
        </w:rPr>
        <w:t xml:space="preserve"> (крупный и средний бизнес)</w:t>
      </w:r>
      <w:r w:rsidR="00C42272" w:rsidRPr="006C5542">
        <w:rPr>
          <w:rFonts w:eastAsia="Arial"/>
          <w:color w:val="000000" w:themeColor="text1"/>
          <w:sz w:val="22"/>
          <w:szCs w:val="22"/>
        </w:rPr>
        <w:t xml:space="preserve">. </w:t>
      </w:r>
      <w:r w:rsidR="00A42EF3" w:rsidRPr="006C5542">
        <w:rPr>
          <w:rFonts w:eastAsia="Arial"/>
          <w:color w:val="000000" w:themeColor="text1"/>
          <w:sz w:val="22"/>
          <w:szCs w:val="22"/>
        </w:rPr>
        <w:t xml:space="preserve">В данных сегментах высокий уровень корпоративного контроля дополняется системой государственного контроля, что в результате проявляется в высоком уровне законопослушности в целях </w:t>
      </w:r>
      <w:r w:rsidR="00403ABB">
        <w:rPr>
          <w:rFonts w:eastAsia="Arial"/>
          <w:color w:val="000000" w:themeColor="text1"/>
          <w:sz w:val="22"/>
          <w:szCs w:val="22"/>
        </w:rPr>
        <w:t>П</w:t>
      </w:r>
      <w:r w:rsidR="00A42EF3" w:rsidRPr="006C5542">
        <w:rPr>
          <w:rFonts w:eastAsia="Arial"/>
          <w:color w:val="000000" w:themeColor="text1"/>
          <w:sz w:val="22"/>
          <w:szCs w:val="22"/>
        </w:rPr>
        <w:t>ОД/ФТ, низком уровне криминализованности</w:t>
      </w:r>
      <w:r w:rsidR="00CC3AE1">
        <w:rPr>
          <w:rFonts w:eastAsia="Arial"/>
          <w:color w:val="000000" w:themeColor="text1"/>
          <w:sz w:val="22"/>
          <w:szCs w:val="22"/>
        </w:rPr>
        <w:t>.</w:t>
      </w:r>
      <w:r w:rsidR="00E828DE">
        <w:rPr>
          <w:rFonts w:eastAsia="Arial"/>
          <w:color w:val="000000" w:themeColor="text1"/>
          <w:sz w:val="22"/>
          <w:szCs w:val="22"/>
        </w:rPr>
        <w:t xml:space="preserve"> </w:t>
      </w:r>
    </w:p>
    <w:p w:rsidR="00E828DE" w:rsidRDefault="00E828DE" w:rsidP="006C5542">
      <w:pPr>
        <w:spacing w:after="0" w:line="240" w:lineRule="auto"/>
        <w:jc w:val="both"/>
        <w:rPr>
          <w:rFonts w:eastAsia="Arial"/>
          <w:color w:val="000000" w:themeColor="text1"/>
          <w:sz w:val="22"/>
          <w:szCs w:val="22"/>
        </w:rPr>
      </w:pPr>
    </w:p>
    <w:p w:rsidR="00E828DE" w:rsidRDefault="00A42EF3" w:rsidP="006C5542">
      <w:pPr>
        <w:spacing w:after="0" w:line="240" w:lineRule="auto"/>
        <w:jc w:val="both"/>
        <w:rPr>
          <w:rFonts w:eastAsia="Arial"/>
          <w:color w:val="000000" w:themeColor="text1"/>
          <w:sz w:val="22"/>
          <w:szCs w:val="22"/>
        </w:rPr>
      </w:pPr>
      <w:r w:rsidRPr="006C5542">
        <w:rPr>
          <w:rFonts w:eastAsia="Arial"/>
          <w:color w:val="000000" w:themeColor="text1"/>
          <w:sz w:val="22"/>
          <w:szCs w:val="22"/>
        </w:rPr>
        <w:t xml:space="preserve">Основные риски использования сектора в схемах ОД проявляются прежде всего в сегменте индивидуальных риэлторов, на который приходится </w:t>
      </w:r>
      <w:r w:rsidR="00A41AEB" w:rsidRPr="006C5542">
        <w:rPr>
          <w:rFonts w:eastAsia="Arial"/>
          <w:color w:val="000000" w:themeColor="text1"/>
          <w:sz w:val="22"/>
          <w:szCs w:val="22"/>
        </w:rPr>
        <w:t xml:space="preserve">треть сектора. </w:t>
      </w:r>
      <w:r w:rsidRPr="006C5542">
        <w:rPr>
          <w:rFonts w:eastAsia="TimesNewRomanPSMT"/>
          <w:sz w:val="22"/>
          <w:szCs w:val="22"/>
        </w:rPr>
        <w:t xml:space="preserve">Как правило, у таких </w:t>
      </w:r>
      <w:r w:rsidR="00A41AEB" w:rsidRPr="006C5542">
        <w:rPr>
          <w:rFonts w:eastAsia="TimesNewRomanPSMT"/>
          <w:sz w:val="22"/>
          <w:szCs w:val="22"/>
        </w:rPr>
        <w:t>риэлторов</w:t>
      </w:r>
      <w:r w:rsidRPr="006C5542">
        <w:rPr>
          <w:rFonts w:eastAsia="TimesNewRomanPSMT"/>
          <w:sz w:val="22"/>
          <w:szCs w:val="22"/>
        </w:rPr>
        <w:t xml:space="preserve"> </w:t>
      </w:r>
      <w:r w:rsidR="00A41AEB" w:rsidRPr="006C5542">
        <w:rPr>
          <w:rFonts w:eastAsia="TimesNewRomanPSMT"/>
          <w:sz w:val="22"/>
          <w:szCs w:val="22"/>
        </w:rPr>
        <w:t>значительно меньшее</w:t>
      </w:r>
      <w:r w:rsidRPr="006C5542">
        <w:rPr>
          <w:rFonts w:eastAsia="TimesNewRomanPSMT"/>
          <w:sz w:val="22"/>
          <w:szCs w:val="22"/>
        </w:rPr>
        <w:t xml:space="preserve"> количество клиентов, </w:t>
      </w:r>
      <w:r w:rsidR="00A41AEB" w:rsidRPr="006C5542">
        <w:rPr>
          <w:rFonts w:eastAsia="TimesNewRomanPSMT"/>
          <w:sz w:val="22"/>
          <w:szCs w:val="22"/>
        </w:rPr>
        <w:t xml:space="preserve">чем у агентств недвижимости, применение </w:t>
      </w:r>
      <w:r w:rsidR="00E4356F" w:rsidRPr="006C5542">
        <w:rPr>
          <w:rFonts w:eastAsia="TimesNewRomanPSMT"/>
          <w:sz w:val="22"/>
          <w:szCs w:val="22"/>
        </w:rPr>
        <w:t>т</w:t>
      </w:r>
      <w:r w:rsidR="00A41AEB" w:rsidRPr="006C5542">
        <w:rPr>
          <w:rFonts w:eastAsia="TimesNewRomanPSMT"/>
          <w:sz w:val="22"/>
          <w:szCs w:val="22"/>
        </w:rPr>
        <w:t>ипологий не носит массовый характер</w:t>
      </w:r>
      <w:r w:rsidR="00E4356F" w:rsidRPr="006C5542">
        <w:rPr>
          <w:rFonts w:eastAsia="Arial"/>
          <w:color w:val="000000" w:themeColor="text1"/>
          <w:sz w:val="22"/>
          <w:szCs w:val="22"/>
        </w:rPr>
        <w:t>.</w:t>
      </w:r>
    </w:p>
    <w:p w:rsidR="00E828DE" w:rsidRDefault="00E828DE" w:rsidP="006C5542">
      <w:pPr>
        <w:spacing w:after="0" w:line="240" w:lineRule="auto"/>
        <w:jc w:val="both"/>
        <w:rPr>
          <w:rFonts w:eastAsia="Arial"/>
          <w:color w:val="000000" w:themeColor="text1"/>
          <w:sz w:val="22"/>
          <w:szCs w:val="22"/>
        </w:rPr>
      </w:pPr>
    </w:p>
    <w:p w:rsidR="00E828DE" w:rsidRDefault="00E4356F" w:rsidP="006C5542">
      <w:pPr>
        <w:spacing w:after="0" w:line="240" w:lineRule="auto"/>
        <w:jc w:val="both"/>
        <w:rPr>
          <w:color w:val="000000" w:themeColor="text1"/>
          <w:sz w:val="22"/>
          <w:szCs w:val="22"/>
        </w:rPr>
      </w:pPr>
      <w:r w:rsidRPr="006C5542">
        <w:rPr>
          <w:color w:val="000000" w:themeColor="text1"/>
          <w:sz w:val="22"/>
          <w:szCs w:val="22"/>
        </w:rPr>
        <w:t>В значительной мере риски вовлечения сектора в противоправные схемы (риск мошенничества, коррупции) нивелируется государственным контролем (налоговым, таможенным законодательством), а также кредитными организациями.</w:t>
      </w:r>
    </w:p>
    <w:p w:rsidR="00E828DE" w:rsidRDefault="00E828DE" w:rsidP="006C5542">
      <w:pPr>
        <w:spacing w:after="0" w:line="240" w:lineRule="auto"/>
        <w:jc w:val="both"/>
        <w:rPr>
          <w:color w:val="000000" w:themeColor="text1"/>
          <w:sz w:val="22"/>
          <w:szCs w:val="22"/>
        </w:rPr>
      </w:pPr>
    </w:p>
    <w:p w:rsidR="00E828DE" w:rsidRDefault="00E828DE" w:rsidP="006C5542">
      <w:pPr>
        <w:spacing w:after="0" w:line="240" w:lineRule="auto"/>
        <w:jc w:val="both"/>
        <w:rPr>
          <w:sz w:val="22"/>
          <w:szCs w:val="22"/>
        </w:rPr>
      </w:pPr>
      <w:r w:rsidRPr="00E828DE">
        <w:rPr>
          <w:rFonts w:cstheme="minorHAnsi"/>
          <w:sz w:val="22"/>
          <w:szCs w:val="22"/>
        </w:rPr>
        <w:t xml:space="preserve">Принимаемые государством меры (постоянная актуализация кадастровой стоимости объектов недвижимости, как базы налогообложения, </w:t>
      </w:r>
      <w:r w:rsidRPr="00E828DE">
        <w:rPr>
          <w:sz w:val="22"/>
          <w:szCs w:val="22"/>
        </w:rPr>
        <w:t xml:space="preserve">увеличение срока с 3-х до 5 лет, в течение которого собственник не может реализовать приобретенный объект недвижимости без уплаты НДФЛ, </w:t>
      </w:r>
      <w:r w:rsidRPr="00E828DE">
        <w:rPr>
          <w:sz w:val="22"/>
          <w:szCs w:val="22"/>
        </w:rPr>
        <w:t>рост числа безналичных расчетов и др.) позволили в определенной степени минимизировать угрозы использования недвижимости в схемах ОД.</w:t>
      </w:r>
      <w:r>
        <w:rPr>
          <w:sz w:val="22"/>
          <w:szCs w:val="22"/>
        </w:rPr>
        <w:t xml:space="preserve"> </w:t>
      </w:r>
    </w:p>
    <w:p w:rsidR="00E828DE" w:rsidRDefault="00E828DE" w:rsidP="006C5542">
      <w:pPr>
        <w:spacing w:after="0" w:line="240" w:lineRule="auto"/>
        <w:jc w:val="both"/>
        <w:rPr>
          <w:sz w:val="22"/>
          <w:szCs w:val="22"/>
        </w:rPr>
      </w:pPr>
    </w:p>
    <w:p w:rsidR="00E828DE" w:rsidRDefault="00E828DE" w:rsidP="006C5542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Кроме того, в</w:t>
      </w:r>
      <w:r w:rsidR="00E4356F" w:rsidRPr="006C5542">
        <w:rPr>
          <w:sz w:val="22"/>
          <w:szCs w:val="22"/>
        </w:rPr>
        <w:t xml:space="preserve"> последние годы в Российской Федерации наметился тренд на замещение услуг, оказываемых риелторами по подбору для клиента объектов недвижимости альтернативными электронными системами, реализованными в сети «Интернет». Целый ряд такого рода сервисов по подбору квартир организован банковскими структурами для продвижения на рынок ипотечных продуктов.</w:t>
      </w:r>
      <w:r>
        <w:rPr>
          <w:sz w:val="22"/>
          <w:szCs w:val="22"/>
        </w:rPr>
        <w:t xml:space="preserve"> </w:t>
      </w:r>
    </w:p>
    <w:p w:rsidR="00E828DE" w:rsidRDefault="00E828DE" w:rsidP="006C5542">
      <w:pPr>
        <w:spacing w:after="0" w:line="240" w:lineRule="auto"/>
        <w:jc w:val="both"/>
        <w:rPr>
          <w:sz w:val="22"/>
          <w:szCs w:val="22"/>
        </w:rPr>
      </w:pPr>
    </w:p>
    <w:p w:rsidR="00E828DE" w:rsidRDefault="00F92C59" w:rsidP="006C5542">
      <w:pPr>
        <w:spacing w:after="0" w:line="240" w:lineRule="auto"/>
        <w:jc w:val="both"/>
        <w:rPr>
          <w:sz w:val="22"/>
          <w:szCs w:val="22"/>
        </w:rPr>
      </w:pPr>
      <w:r w:rsidRPr="006C5542">
        <w:rPr>
          <w:color w:val="000000" w:themeColor="text1"/>
          <w:sz w:val="22"/>
          <w:szCs w:val="22"/>
        </w:rPr>
        <w:t>Факты использования инфраструктуры сектора для целей финансирования терроризма не выявлялись</w:t>
      </w:r>
      <w:r w:rsidR="00F11AF0">
        <w:rPr>
          <w:color w:val="000000" w:themeColor="text1"/>
          <w:sz w:val="22"/>
          <w:szCs w:val="22"/>
        </w:rPr>
        <w:t>.</w:t>
      </w:r>
      <w:r w:rsidR="00C42272" w:rsidRPr="006C5542">
        <w:rPr>
          <w:sz w:val="22"/>
          <w:szCs w:val="22"/>
        </w:rPr>
        <w:t xml:space="preserve"> </w:t>
      </w:r>
      <w:r w:rsidR="00F11AF0" w:rsidRPr="00F11AF0">
        <w:rPr>
          <w:sz w:val="22"/>
          <w:szCs w:val="22"/>
        </w:rPr>
        <w:t xml:space="preserve">Вместе с тем </w:t>
      </w:r>
      <w:r w:rsidR="00F11AF0" w:rsidRPr="006C5542">
        <w:rPr>
          <w:sz w:val="22"/>
          <w:szCs w:val="22"/>
        </w:rPr>
        <w:t xml:space="preserve">террористическими группами </w:t>
      </w:r>
      <w:r w:rsidR="00F11AF0" w:rsidRPr="00F11AF0">
        <w:rPr>
          <w:sz w:val="22"/>
          <w:szCs w:val="22"/>
        </w:rPr>
        <w:t xml:space="preserve">потенциально могут быть использованы </w:t>
      </w:r>
      <w:r w:rsidR="00F11AF0">
        <w:rPr>
          <w:sz w:val="22"/>
          <w:szCs w:val="22"/>
        </w:rPr>
        <w:t>доходы</w:t>
      </w:r>
      <w:r w:rsidR="00F11AF0" w:rsidRPr="006C5542">
        <w:rPr>
          <w:sz w:val="22"/>
          <w:szCs w:val="22"/>
        </w:rPr>
        <w:t xml:space="preserve"> от продажи</w:t>
      </w:r>
      <w:r w:rsidR="00E828DE">
        <w:rPr>
          <w:sz w:val="22"/>
          <w:szCs w:val="22"/>
        </w:rPr>
        <w:t xml:space="preserve"> </w:t>
      </w:r>
      <w:r w:rsidR="00F11AF0" w:rsidRPr="006C5542">
        <w:rPr>
          <w:sz w:val="22"/>
          <w:szCs w:val="22"/>
        </w:rPr>
        <w:t>или сдачи в аренду недвижимого имущества</w:t>
      </w:r>
      <w:r w:rsidR="00F11AF0">
        <w:rPr>
          <w:sz w:val="22"/>
          <w:szCs w:val="22"/>
        </w:rPr>
        <w:t>, принадлежащего террористам.</w:t>
      </w:r>
      <w:r w:rsidR="00E828DE">
        <w:rPr>
          <w:sz w:val="22"/>
          <w:szCs w:val="22"/>
        </w:rPr>
        <w:t xml:space="preserve"> </w:t>
      </w:r>
    </w:p>
    <w:p w:rsidR="00E828DE" w:rsidRDefault="00E828DE" w:rsidP="006C5542">
      <w:pPr>
        <w:spacing w:after="0" w:line="240" w:lineRule="auto"/>
        <w:jc w:val="both"/>
        <w:rPr>
          <w:sz w:val="22"/>
          <w:szCs w:val="22"/>
        </w:rPr>
      </w:pPr>
    </w:p>
    <w:p w:rsidR="00E828DE" w:rsidRDefault="00744898" w:rsidP="006C5542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F92C59" w:rsidRPr="006C5542">
        <w:rPr>
          <w:sz w:val="22"/>
          <w:szCs w:val="22"/>
        </w:rPr>
        <w:t xml:space="preserve">ектор </w:t>
      </w:r>
      <w:r>
        <w:rPr>
          <w:sz w:val="22"/>
          <w:szCs w:val="22"/>
        </w:rPr>
        <w:t xml:space="preserve">риэлторов </w:t>
      </w:r>
      <w:r w:rsidR="00F92C59" w:rsidRPr="006C5542">
        <w:rPr>
          <w:sz w:val="22"/>
          <w:szCs w:val="22"/>
        </w:rPr>
        <w:t>информирован о возможностях вовлечения в противоправную деятельность и о рисках ОД/ФТ,</w:t>
      </w:r>
      <w:r w:rsidR="00C42272" w:rsidRPr="006C5542">
        <w:rPr>
          <w:sz w:val="22"/>
          <w:szCs w:val="22"/>
        </w:rPr>
        <w:t xml:space="preserve"> </w:t>
      </w:r>
      <w:r w:rsidR="00F92C59" w:rsidRPr="006C5542">
        <w:rPr>
          <w:sz w:val="22"/>
          <w:szCs w:val="22"/>
        </w:rPr>
        <w:t>принимает меры по их недопущению.</w:t>
      </w:r>
    </w:p>
    <w:p w:rsidR="00E828DE" w:rsidRDefault="00E828DE" w:rsidP="006C5542">
      <w:pPr>
        <w:spacing w:after="0" w:line="240" w:lineRule="auto"/>
        <w:jc w:val="both"/>
        <w:rPr>
          <w:sz w:val="22"/>
          <w:szCs w:val="22"/>
        </w:rPr>
      </w:pPr>
    </w:p>
    <w:p w:rsidR="00E828DE" w:rsidRPr="006C5542" w:rsidRDefault="00E828DE" w:rsidP="006C5542">
      <w:pPr>
        <w:spacing w:after="0" w:line="24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D935DC" w:rsidRPr="00053BC1" w:rsidRDefault="00F92C59" w:rsidP="00D935DC">
      <w:pPr>
        <w:spacing w:after="0" w:line="240" w:lineRule="auto"/>
        <w:jc w:val="both"/>
        <w:rPr>
          <w:i/>
          <w:color w:val="000000" w:themeColor="text1"/>
          <w:sz w:val="22"/>
          <w:szCs w:val="22"/>
        </w:rPr>
      </w:pPr>
      <w:r w:rsidRPr="006C5542">
        <w:rPr>
          <w:b/>
          <w:i/>
          <w:color w:val="000000" w:themeColor="text1"/>
          <w:sz w:val="22"/>
          <w:szCs w:val="22"/>
        </w:rPr>
        <w:t xml:space="preserve">Вывод: </w:t>
      </w:r>
      <w:r w:rsidR="00D935DC">
        <w:rPr>
          <w:rFonts w:eastAsia="Arial"/>
          <w:color w:val="000000" w:themeColor="text1"/>
          <w:sz w:val="22"/>
          <w:szCs w:val="22"/>
        </w:rPr>
        <w:t>значительный м</w:t>
      </w:r>
      <w:r w:rsidR="00D935DC" w:rsidRPr="00053BC1">
        <w:rPr>
          <w:rFonts w:eastAsia="Arial"/>
          <w:color w:val="000000" w:themeColor="text1"/>
          <w:sz w:val="22"/>
          <w:szCs w:val="22"/>
        </w:rPr>
        <w:t>асштаб сектора, наличие выявленных угроз и обозначенных уязвимостей, формируют</w:t>
      </w:r>
      <w:r w:rsidR="00744898">
        <w:rPr>
          <w:i/>
          <w:color w:val="000000" w:themeColor="text1"/>
          <w:sz w:val="22"/>
          <w:szCs w:val="22"/>
        </w:rPr>
        <w:t xml:space="preserve"> вывод о</w:t>
      </w:r>
      <w:r w:rsidR="00D935DC" w:rsidRPr="00053BC1">
        <w:rPr>
          <w:i/>
          <w:color w:val="000000" w:themeColor="text1"/>
          <w:sz w:val="22"/>
          <w:szCs w:val="22"/>
        </w:rPr>
        <w:t xml:space="preserve"> </w:t>
      </w:r>
      <w:r w:rsidR="00744898">
        <w:rPr>
          <w:b/>
          <w:i/>
          <w:color w:val="000000" w:themeColor="text1"/>
          <w:sz w:val="22"/>
          <w:szCs w:val="22"/>
        </w:rPr>
        <w:t>повышенном</w:t>
      </w:r>
      <w:r w:rsidR="00D935DC" w:rsidRPr="00053BC1">
        <w:rPr>
          <w:i/>
          <w:color w:val="000000" w:themeColor="text1"/>
          <w:sz w:val="22"/>
          <w:szCs w:val="22"/>
        </w:rPr>
        <w:t xml:space="preserve"> уровне угрозы, </w:t>
      </w:r>
      <w:r w:rsidR="00D935DC" w:rsidRPr="00053BC1">
        <w:rPr>
          <w:b/>
          <w:i/>
          <w:color w:val="000000" w:themeColor="text1"/>
          <w:sz w:val="22"/>
          <w:szCs w:val="22"/>
        </w:rPr>
        <w:t>умеренном</w:t>
      </w:r>
      <w:r w:rsidR="00D935DC" w:rsidRPr="00053BC1">
        <w:rPr>
          <w:i/>
          <w:color w:val="000000" w:themeColor="text1"/>
          <w:sz w:val="22"/>
          <w:szCs w:val="22"/>
        </w:rPr>
        <w:t xml:space="preserve"> уровне уязвимости, и, как следствие, </w:t>
      </w:r>
      <w:r w:rsidR="00D935DC" w:rsidRPr="00053BC1">
        <w:rPr>
          <w:b/>
          <w:i/>
          <w:color w:val="000000" w:themeColor="text1"/>
          <w:sz w:val="22"/>
          <w:szCs w:val="22"/>
        </w:rPr>
        <w:t>умеренном</w:t>
      </w:r>
      <w:r w:rsidR="00D935DC" w:rsidRPr="00053BC1">
        <w:rPr>
          <w:i/>
          <w:color w:val="000000" w:themeColor="text1"/>
          <w:sz w:val="22"/>
          <w:szCs w:val="22"/>
        </w:rPr>
        <w:t xml:space="preserve"> уровне риска использования сектора для целей ОД и </w:t>
      </w:r>
      <w:r w:rsidR="00D935DC" w:rsidRPr="00053BC1">
        <w:rPr>
          <w:rFonts w:eastAsia="Arial"/>
          <w:b/>
          <w:i/>
          <w:color w:val="000000" w:themeColor="text1"/>
          <w:sz w:val="22"/>
          <w:szCs w:val="22"/>
        </w:rPr>
        <w:t>низком</w:t>
      </w:r>
      <w:r w:rsidR="00D935DC" w:rsidRPr="00053BC1">
        <w:rPr>
          <w:rFonts w:eastAsia="Arial"/>
          <w:i/>
          <w:color w:val="000000" w:themeColor="text1"/>
          <w:sz w:val="22"/>
          <w:szCs w:val="22"/>
        </w:rPr>
        <w:t xml:space="preserve"> уровне риска </w:t>
      </w:r>
      <w:r w:rsidR="00D935DC" w:rsidRPr="00053BC1">
        <w:rPr>
          <w:i/>
          <w:color w:val="000000" w:themeColor="text1"/>
          <w:sz w:val="22"/>
          <w:szCs w:val="22"/>
        </w:rPr>
        <w:t>ФТ.</w:t>
      </w:r>
    </w:p>
    <w:p w:rsidR="00D935DC" w:rsidRPr="006C5542" w:rsidRDefault="00D935DC" w:rsidP="006C5542">
      <w:pPr>
        <w:spacing w:after="0" w:line="240" w:lineRule="auto"/>
        <w:jc w:val="both"/>
        <w:rPr>
          <w:i/>
          <w:color w:val="000000" w:themeColor="text1"/>
          <w:sz w:val="22"/>
          <w:szCs w:val="22"/>
        </w:rPr>
        <w:sectPr w:rsidR="00D935DC" w:rsidRPr="006C5542" w:rsidSect="00E828DE">
          <w:headerReference w:type="default" r:id="rId29"/>
          <w:headerReference w:type="first" r:id="rId30"/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E828DE" w:rsidRDefault="00E828DE" w:rsidP="00F92C59">
      <w:pPr>
        <w:keepLines/>
        <w:spacing w:after="0" w:line="240" w:lineRule="auto"/>
        <w:jc w:val="both"/>
        <w:rPr>
          <w:color w:val="000000" w:themeColor="text1"/>
        </w:rPr>
        <w:sectPr w:rsidR="00E828DE" w:rsidSect="00E828DE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E828DE" w:rsidRDefault="00E828DE" w:rsidP="00F92C59">
      <w:pPr>
        <w:keepLines/>
        <w:spacing w:after="0" w:line="240" w:lineRule="auto"/>
        <w:jc w:val="both"/>
        <w:rPr>
          <w:color w:val="000000" w:themeColor="text1"/>
        </w:rPr>
        <w:sectPr w:rsidR="00E828DE" w:rsidSect="00F92C59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F92C59" w:rsidRDefault="00F92C59" w:rsidP="00F92C59">
      <w:pPr>
        <w:keepLines/>
        <w:spacing w:after="0" w:line="240" w:lineRule="auto"/>
        <w:jc w:val="both"/>
        <w:rPr>
          <w:color w:val="000000" w:themeColor="text1"/>
        </w:rPr>
      </w:pPr>
    </w:p>
    <w:p w:rsidR="00F92C59" w:rsidRDefault="00F92C59" w:rsidP="00BB158B">
      <w:pPr>
        <w:pStyle w:val="1"/>
        <w:numPr>
          <w:ilvl w:val="0"/>
          <w:numId w:val="0"/>
        </w:numPr>
        <w:spacing w:before="0" w:after="0" w:line="240" w:lineRule="auto"/>
        <w:ind w:left="360" w:hanging="360"/>
        <w:jc w:val="both"/>
        <w:rPr>
          <w:color w:val="auto"/>
          <w:sz w:val="28"/>
          <w:szCs w:val="28"/>
        </w:rPr>
        <w:sectPr w:rsidR="00F92C59" w:rsidSect="00F92C59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BB158B" w:rsidRDefault="00BB158B" w:rsidP="0003723C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color w:val="auto"/>
          <w:sz w:val="22"/>
          <w:szCs w:val="22"/>
        </w:rPr>
        <w:sectPr w:rsidR="00BB158B" w:rsidSect="00F92C59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F92C59" w:rsidRDefault="00F92C59" w:rsidP="005A1D07">
      <w:pPr>
        <w:sectPr w:rsidR="00F92C59" w:rsidSect="001053F0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5A1D07" w:rsidRDefault="005A1D07" w:rsidP="005A1D07"/>
    <w:p w:rsidR="006C5542" w:rsidRDefault="006C5542" w:rsidP="005A1D07"/>
    <w:p w:rsidR="006C5542" w:rsidRDefault="006C5542" w:rsidP="005A1D07"/>
    <w:p w:rsidR="00D935DC" w:rsidRDefault="00D935DC" w:rsidP="005A1D07"/>
    <w:p w:rsidR="00403ABB" w:rsidRDefault="00403ABB" w:rsidP="005A1D07"/>
    <w:p w:rsidR="00F11AF0" w:rsidRDefault="00F11AF0" w:rsidP="005A1D07"/>
    <w:p w:rsidR="003958A6" w:rsidRDefault="003958A6" w:rsidP="005A1D07">
      <w:pPr>
        <w:pStyle w:val="afb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</w:rPr>
      </w:pPr>
    </w:p>
    <w:p w:rsidR="005A1D07" w:rsidRPr="004A3E72" w:rsidRDefault="005A1D07" w:rsidP="005A1D07">
      <w:pPr>
        <w:pStyle w:val="afb"/>
        <w:spacing w:after="0" w:line="240" w:lineRule="auto"/>
        <w:rPr>
          <w:rFonts w:ascii="Times New Roman" w:hAnsi="Times New Roman" w:cs="Times New Roman"/>
          <w:b/>
          <w:caps/>
          <w:color w:val="365F91" w:themeColor="accent1" w:themeShade="BF"/>
        </w:rPr>
      </w:pPr>
      <w:r w:rsidRPr="004A3E72">
        <w:rPr>
          <w:rFonts w:ascii="Times New Roman" w:hAnsi="Times New Roman" w:cs="Times New Roman"/>
          <w:b/>
          <w:color w:val="365F91" w:themeColor="accent1" w:themeShade="BF"/>
        </w:rPr>
        <w:t>М</w:t>
      </w:r>
      <w:r w:rsidRPr="004A3E72">
        <w:rPr>
          <w:rFonts w:ascii="Times New Roman" w:hAnsi="Times New Roman" w:cs="Times New Roman"/>
          <w:b/>
          <w:caps/>
          <w:color w:val="365F91" w:themeColor="accent1" w:themeShade="BF"/>
        </w:rPr>
        <w:t>еры по снижению рисков</w:t>
      </w:r>
    </w:p>
    <w:p w:rsidR="005A1D07" w:rsidRPr="004A3E72" w:rsidRDefault="005A1D07" w:rsidP="005A1D07">
      <w:pPr>
        <w:spacing w:after="0" w:line="240" w:lineRule="auto"/>
      </w:pPr>
    </w:p>
    <w:p w:rsidR="00E75140" w:rsidRPr="005A1D07" w:rsidRDefault="005A1D07" w:rsidP="00E75140">
      <w:pPr>
        <w:pStyle w:val="afb"/>
        <w:spacing w:after="0" w:line="240" w:lineRule="auto"/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</w:pPr>
      <w:r w:rsidRPr="004A3E72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>М</w:t>
      </w:r>
      <w:r w:rsidRPr="004A3E72"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  <w:t xml:space="preserve">еры </w:t>
      </w:r>
      <w:r w:rsidR="00E75140" w:rsidRPr="005A1D07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>НАДЗОРНОГО</w:t>
      </w:r>
      <w:r w:rsidR="00F34152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 xml:space="preserve"> </w:t>
      </w:r>
      <w:r w:rsidR="00E75140" w:rsidRPr="005A1D07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>РЕАГИРОВАНИЯ</w:t>
      </w:r>
    </w:p>
    <w:p w:rsidR="005A1D07" w:rsidRPr="006744D2" w:rsidRDefault="005A1D07" w:rsidP="005A1D07">
      <w:pPr>
        <w:spacing w:after="0" w:line="240" w:lineRule="auto"/>
        <w:rPr>
          <w:rFonts w:eastAsiaTheme="minorEastAsia"/>
        </w:rPr>
      </w:pPr>
    </w:p>
    <w:p w:rsidR="005A1D07" w:rsidRDefault="005A1D07" w:rsidP="008775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  <w:sectPr w:rsidR="005A1D07" w:rsidSect="001053F0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E70AEF" w:rsidRDefault="00E70AEF" w:rsidP="00E70AEF">
      <w:pPr>
        <w:pStyle w:val="a6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AB0ABD">
        <w:rPr>
          <w:rFonts w:ascii="Times New Roman" w:hAnsi="Times New Roman"/>
          <w:sz w:val="22"/>
          <w:szCs w:val="22"/>
        </w:rPr>
        <w:t>повысить уровень вовлечения</w:t>
      </w:r>
      <w:r>
        <w:rPr>
          <w:rFonts w:ascii="Times New Roman" w:hAnsi="Times New Roman"/>
          <w:sz w:val="22"/>
          <w:szCs w:val="22"/>
        </w:rPr>
        <w:t xml:space="preserve"> в систему ПОД/ФТ</w:t>
      </w:r>
      <w:r w:rsidRPr="00AB0ABD">
        <w:rPr>
          <w:rFonts w:ascii="Times New Roman" w:hAnsi="Times New Roman"/>
          <w:sz w:val="22"/>
          <w:szCs w:val="22"/>
        </w:rPr>
        <w:t xml:space="preserve"> субъектов сектора посредством проведения профилактических мероприятий, акцентировав внимание на содержательной части исполнения законодательства о ПОД/ФТ, </w:t>
      </w:r>
      <w:r>
        <w:rPr>
          <w:rFonts w:ascii="Times New Roman" w:hAnsi="Times New Roman"/>
          <w:sz w:val="22"/>
          <w:szCs w:val="22"/>
        </w:rPr>
        <w:t xml:space="preserve">в том числе </w:t>
      </w:r>
      <w:r w:rsidRPr="00AB0ABD">
        <w:rPr>
          <w:rFonts w:ascii="Times New Roman" w:hAnsi="Times New Roman"/>
          <w:sz w:val="22"/>
          <w:szCs w:val="22"/>
        </w:rPr>
        <w:t>через механизм Личного кабинета.</w:t>
      </w:r>
    </w:p>
    <w:p w:rsidR="00E70AEF" w:rsidRDefault="00E70AEF" w:rsidP="00E70AEF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:rsidR="00E70AEF" w:rsidRDefault="00E70AEF" w:rsidP="00E70AEF">
      <w:pPr>
        <w:pStyle w:val="afb"/>
        <w:spacing w:after="0" w:line="240" w:lineRule="auto"/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</w:pPr>
      <w:r w:rsidRPr="008C3A6A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 xml:space="preserve">МЕРЫ </w:t>
      </w:r>
      <w:r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>СУБЪЕКТОВ СЕКТОРА</w:t>
      </w:r>
    </w:p>
    <w:p w:rsidR="00E70AEF" w:rsidRPr="0064026D" w:rsidRDefault="00E70AEF" w:rsidP="00E70AEF">
      <w:pPr>
        <w:spacing w:after="0" w:line="240" w:lineRule="auto"/>
      </w:pPr>
    </w:p>
    <w:p w:rsidR="00E70AEF" w:rsidRPr="0064026D" w:rsidRDefault="00E70AEF" w:rsidP="00E70AEF">
      <w:pPr>
        <w:pStyle w:val="a6"/>
        <w:numPr>
          <w:ilvl w:val="0"/>
          <w:numId w:val="45"/>
        </w:numPr>
        <w:spacing w:after="0" w:line="240" w:lineRule="auto"/>
        <w:ind w:left="0" w:firstLine="0"/>
        <w:jc w:val="both"/>
        <w:rPr>
          <w:color w:val="000000" w:themeColor="text1"/>
        </w:rPr>
      </w:pPr>
      <w:r>
        <w:rPr>
          <w:rFonts w:ascii="Times New Roman" w:hAnsi="Times New Roman"/>
          <w:sz w:val="22"/>
          <w:szCs w:val="22"/>
        </w:rPr>
        <w:t>использовать результаты секторальных оценок рисков ОД/ФТ при разработке внутренней политики, правил внутреннего контроля и иных документов в области управления рисками ОД/ФТ, обучения персонала, выработки механизмов и мер по выявлению и снижению рисков, в т.ч. по идентификации и оценке рисков клиентов (их представителей, бенефициарных владельцев), выявлению подозрительных операций и проведению иных мероприятий, направленных на ПОД/ФТ</w:t>
      </w:r>
      <w:r w:rsidRPr="00B13AB7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813EDB" w:rsidRPr="00813EDB" w:rsidRDefault="00813EDB" w:rsidP="00E75140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</w:rPr>
      </w:pPr>
    </w:p>
    <w:p w:rsidR="00813EDB" w:rsidRDefault="00813EDB" w:rsidP="00E75140">
      <w:pPr>
        <w:spacing w:after="0" w:line="240" w:lineRule="auto"/>
        <w:jc w:val="both"/>
        <w:sectPr w:rsidR="00813EDB" w:rsidSect="005A1D07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1053F0" w:rsidRDefault="00143912" w:rsidP="00882D91">
      <w:pPr>
        <w:pStyle w:val="10"/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4C07FE" wp14:editId="40DB70B1">
            <wp:extent cx="7553325" cy="10020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87" w:rsidRPr="00211B05" w:rsidRDefault="00A47487" w:rsidP="00A47487">
      <w:pPr>
        <w:spacing w:after="0" w:line="360" w:lineRule="auto"/>
        <w:jc w:val="both"/>
        <w:rPr>
          <w:sz w:val="28"/>
          <w:szCs w:val="28"/>
        </w:rPr>
      </w:pPr>
    </w:p>
    <w:sectPr w:rsidR="00A47487" w:rsidRPr="00211B05" w:rsidSect="00E55129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BF" w:rsidRDefault="000A58BF" w:rsidP="00D2725F">
      <w:pPr>
        <w:spacing w:after="0" w:line="240" w:lineRule="auto"/>
      </w:pPr>
      <w:r>
        <w:separator/>
      </w:r>
    </w:p>
  </w:endnote>
  <w:endnote w:type="continuationSeparator" w:id="0">
    <w:p w:rsidR="000A58BF" w:rsidRDefault="000A58BF" w:rsidP="00D2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924334301"/>
      <w:docPartObj>
        <w:docPartGallery w:val="Page Numbers (Bottom of Page)"/>
        <w:docPartUnique/>
      </w:docPartObj>
    </w:sdtPr>
    <w:sdtEndPr/>
    <w:sdtContent>
      <w:p w:rsidR="000A58BF" w:rsidRPr="00A636C7" w:rsidRDefault="000A58BF" w:rsidP="00A636C7">
        <w:pPr>
          <w:pStyle w:val="aa"/>
          <w:ind w:left="-284"/>
          <w:rPr>
            <w:b/>
          </w:rPr>
        </w:pPr>
        <w:r w:rsidRPr="00A636C7">
          <w:rPr>
            <w:b/>
          </w:rPr>
          <w:fldChar w:fldCharType="begin"/>
        </w:r>
        <w:r w:rsidRPr="00A636C7">
          <w:rPr>
            <w:b/>
          </w:rPr>
          <w:instrText>PAGE   \* MERGEFORMAT</w:instrText>
        </w:r>
        <w:r w:rsidRPr="00A636C7">
          <w:rPr>
            <w:b/>
          </w:rPr>
          <w:fldChar w:fldCharType="separate"/>
        </w:r>
        <w:r w:rsidR="00491554">
          <w:rPr>
            <w:b/>
            <w:noProof/>
          </w:rPr>
          <w:t>2</w:t>
        </w:r>
        <w:r w:rsidRPr="00A636C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767072"/>
      <w:docPartObj>
        <w:docPartGallery w:val="Page Numbers (Bottom of Page)"/>
        <w:docPartUnique/>
      </w:docPartObj>
    </w:sdtPr>
    <w:sdtEndPr>
      <w:rPr>
        <w:b/>
      </w:rPr>
    </w:sdtEndPr>
    <w:sdtContent>
      <w:p w:rsidR="000A58BF" w:rsidRPr="00E55129" w:rsidRDefault="000A58BF" w:rsidP="00E55129">
        <w:pPr>
          <w:pStyle w:val="aa"/>
          <w:tabs>
            <w:tab w:val="clear" w:pos="9355"/>
          </w:tabs>
          <w:ind w:right="-285"/>
          <w:jc w:val="right"/>
          <w:rPr>
            <w:b/>
          </w:rPr>
        </w:pPr>
        <w:r w:rsidRPr="00E55129">
          <w:rPr>
            <w:b/>
          </w:rPr>
          <w:fldChar w:fldCharType="begin"/>
        </w:r>
        <w:r w:rsidRPr="00E55129">
          <w:rPr>
            <w:b/>
          </w:rPr>
          <w:instrText>PAGE   \* MERGEFORMAT</w:instrText>
        </w:r>
        <w:r w:rsidRPr="00E55129">
          <w:rPr>
            <w:b/>
          </w:rPr>
          <w:fldChar w:fldCharType="separate"/>
        </w:r>
        <w:r>
          <w:rPr>
            <w:b/>
            <w:noProof/>
          </w:rPr>
          <w:t>1</w:t>
        </w:r>
        <w:r w:rsidRPr="00E55129">
          <w:rPr>
            <w:b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F" w:rsidRDefault="000A58BF" w:rsidP="00A636C7">
    <w:pPr>
      <w:pStyle w:val="a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297999078"/>
      <w:docPartObj>
        <w:docPartGallery w:val="Page Numbers (Bottom of Page)"/>
        <w:docPartUnique/>
      </w:docPartObj>
    </w:sdtPr>
    <w:sdtEndPr/>
    <w:sdtContent>
      <w:p w:rsidR="000A58BF" w:rsidRDefault="000A58BF" w:rsidP="00325549">
        <w:pPr>
          <w:pStyle w:val="aa"/>
          <w:tabs>
            <w:tab w:val="clear" w:pos="4677"/>
            <w:tab w:val="clear" w:pos="9355"/>
          </w:tabs>
          <w:ind w:left="-284"/>
          <w:rPr>
            <w:b/>
            <w:color w:val="808080" w:themeColor="background1" w:themeShade="80"/>
            <w:sz w:val="16"/>
            <w:szCs w:val="16"/>
          </w:rPr>
        </w:pPr>
        <w:r>
          <w:rPr>
            <w:noProof/>
            <w:lang w:eastAsia="ru-RU"/>
          </w:rPr>
          <w:drawing>
            <wp:anchor distT="0" distB="0" distL="114300" distR="114300" simplePos="0" relativeHeight="251664384" behindDoc="1" locked="0" layoutInCell="1" allowOverlap="1" wp14:anchorId="57883016" wp14:editId="1EA98EA4">
              <wp:simplePos x="0" y="0"/>
              <wp:positionH relativeFrom="page">
                <wp:align>left</wp:align>
              </wp:positionH>
              <wp:positionV relativeFrom="page">
                <wp:posOffset>9360776</wp:posOffset>
              </wp:positionV>
              <wp:extent cx="1637414" cy="1325477"/>
              <wp:effectExtent l="0" t="0" r="1270" b="8255"/>
              <wp:wrapNone/>
              <wp:docPr id="22" name="Рисунок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637414" cy="1325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636C7">
          <w:rPr>
            <w:b/>
          </w:rPr>
          <w:fldChar w:fldCharType="begin"/>
        </w:r>
        <w:r w:rsidRPr="00A636C7">
          <w:rPr>
            <w:b/>
          </w:rPr>
          <w:instrText>PAGE   \* MERGEFORMAT</w:instrText>
        </w:r>
        <w:r w:rsidRPr="00A636C7">
          <w:rPr>
            <w:b/>
          </w:rPr>
          <w:fldChar w:fldCharType="separate"/>
        </w:r>
        <w:r w:rsidR="00F61772">
          <w:rPr>
            <w:b/>
            <w:noProof/>
          </w:rPr>
          <w:t>8</w:t>
        </w:r>
        <w:r w:rsidRPr="00A636C7">
          <w:rPr>
            <w:b/>
          </w:rPr>
          <w:fldChar w:fldCharType="end"/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</w:r>
        <w:r w:rsidRPr="00325549">
          <w:rPr>
            <w:b/>
            <w:color w:val="808080" w:themeColor="background1" w:themeShade="80"/>
            <w:sz w:val="16"/>
            <w:szCs w:val="16"/>
          </w:rPr>
          <w:t>СЕКТОРАЛЬНАЯ ОЦЕНКА РИСКОВ ОТМЫВАНИЯ (ЛЕГАЛИЗАЦИИ) ДЕНЕЖНЫХ СРЕДСТВ И</w:t>
        </w:r>
      </w:p>
      <w:p w:rsidR="000A58BF" w:rsidRDefault="000A58BF" w:rsidP="00DF3621">
        <w:pPr>
          <w:pStyle w:val="aa"/>
          <w:tabs>
            <w:tab w:val="clear" w:pos="4677"/>
            <w:tab w:val="clear" w:pos="9355"/>
          </w:tabs>
          <w:ind w:left="-284"/>
          <w:rPr>
            <w:b/>
            <w:color w:val="808080" w:themeColor="background1" w:themeShade="80"/>
            <w:sz w:val="16"/>
            <w:szCs w:val="16"/>
          </w:rPr>
        </w:pP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</w:r>
        <w:r w:rsidRPr="00325549">
          <w:rPr>
            <w:b/>
            <w:color w:val="808080" w:themeColor="background1" w:themeShade="80"/>
            <w:sz w:val="16"/>
            <w:szCs w:val="16"/>
          </w:rPr>
          <w:t xml:space="preserve">ФИНАСИРОВАНИЯ ТЕРРОРИЗМА С ИСПОЛЬЗОВАНИЕМ </w:t>
        </w:r>
        <w:r>
          <w:rPr>
            <w:b/>
            <w:color w:val="808080" w:themeColor="background1" w:themeShade="80"/>
            <w:sz w:val="16"/>
            <w:szCs w:val="16"/>
          </w:rPr>
          <w:t>РИЭЛТОРОВ</w:t>
        </w:r>
      </w:p>
      <w:p w:rsidR="000A58BF" w:rsidRPr="00A636C7" w:rsidRDefault="00F61772" w:rsidP="00DF3621">
        <w:pPr>
          <w:pStyle w:val="aa"/>
          <w:tabs>
            <w:tab w:val="clear" w:pos="4677"/>
            <w:tab w:val="clear" w:pos="9355"/>
          </w:tabs>
          <w:ind w:left="-284"/>
          <w:rPr>
            <w:b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F" w:rsidRPr="00E55129" w:rsidRDefault="000A58BF" w:rsidP="00E55129">
    <w:pPr>
      <w:pStyle w:val="aa"/>
      <w:tabs>
        <w:tab w:val="clear" w:pos="9355"/>
      </w:tabs>
      <w:ind w:right="-285"/>
      <w:jc w:val="right"/>
      <w:rPr>
        <w:b/>
      </w:rPr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33AEFB69" wp14:editId="5AEFC49C">
          <wp:simplePos x="0" y="0"/>
          <wp:positionH relativeFrom="page">
            <wp:align>right</wp:align>
          </wp:positionH>
          <wp:positionV relativeFrom="page">
            <wp:posOffset>9352096</wp:posOffset>
          </wp:positionV>
          <wp:extent cx="1655689" cy="1340270"/>
          <wp:effectExtent l="0" t="0" r="1905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0" t="-584" r="-540" b="-584"/>
                  <a:stretch/>
                </pic:blipFill>
                <pic:spPr bwMode="auto">
                  <a:xfrm>
                    <a:off x="0" y="0"/>
                    <a:ext cx="1655689" cy="134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-60960</wp:posOffset>
              </wp:positionV>
              <wp:extent cx="514350" cy="28829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88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8BF" w:rsidRPr="000B7DF9" w:rsidRDefault="000A58BF">
                          <w:pPr>
                            <w:rPr>
                              <w:color w:val="365F91" w:themeColor="accent1" w:themeShade="BF"/>
                            </w:rPr>
                          </w:pPr>
                          <w:r w:rsidRPr="000B7DF9">
                            <w:rPr>
                              <w:color w:val="365F91" w:themeColor="accent1" w:themeShade="BF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0;text-align:left;margin-left:0;margin-top:-4.8pt;width:40.5pt;height:22.7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" filled="f" stroked="f">
              <v:textbox>
                <w:txbxContent>
                  <w:p w:rsidR="000A58BF" w:rsidRPr="000B7DF9" w:rsidRDefault="000A58BF">
                    <w:pPr>
                      <w:rPr>
                        <w:color w:val="365F91" w:themeColor="accent1" w:themeShade="BF"/>
                      </w:rPr>
                    </w:pPr>
                    <w:r w:rsidRPr="000B7DF9">
                      <w:rPr>
                        <w:color w:val="365F91" w:themeColor="accent1" w:themeShade="BF"/>
                      </w:rPr>
                      <w:t>2018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950077174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Pr="00E55129">
          <w:rPr>
            <w:b/>
          </w:rPr>
          <w:fldChar w:fldCharType="begin"/>
        </w:r>
        <w:r w:rsidRPr="00E55129">
          <w:rPr>
            <w:b/>
          </w:rPr>
          <w:instrText>PAGE   \* MERGEFORMAT</w:instrText>
        </w:r>
        <w:r w:rsidRPr="00E55129">
          <w:rPr>
            <w:b/>
          </w:rPr>
          <w:fldChar w:fldCharType="separate"/>
        </w:r>
        <w:r w:rsidR="00F61772">
          <w:rPr>
            <w:b/>
            <w:noProof/>
          </w:rPr>
          <w:t>9</w:t>
        </w:r>
        <w:r w:rsidRPr="00E55129">
          <w:rPr>
            <w:b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865127"/>
      <w:docPartObj>
        <w:docPartGallery w:val="Page Numbers (Bottom of Page)"/>
        <w:docPartUnique/>
      </w:docPartObj>
    </w:sdtPr>
    <w:sdtEndPr>
      <w:rPr>
        <w:b/>
      </w:rPr>
    </w:sdtEndPr>
    <w:sdtContent>
      <w:p w:rsidR="000A58BF" w:rsidRPr="00475212" w:rsidRDefault="000A58BF" w:rsidP="00475212">
        <w:pPr>
          <w:pStyle w:val="aa"/>
          <w:ind w:left="-284"/>
          <w:rPr>
            <w:b/>
          </w:rPr>
        </w:pPr>
        <w:r w:rsidRPr="00475212">
          <w:rPr>
            <w:noProof/>
            <w:lang w:eastAsia="ru-RU"/>
          </w:rPr>
          <mc:AlternateContent>
            <mc:Choice Requires="wps">
              <w:drawing>
                <wp:anchor distT="45720" distB="45720" distL="114300" distR="114300" simplePos="0" relativeHeight="251678720" behindDoc="0" locked="0" layoutInCell="1" allowOverlap="1" wp14:anchorId="569AF572" wp14:editId="11C6E82A">
                  <wp:simplePos x="0" y="0"/>
                  <wp:positionH relativeFrom="margin">
                    <wp:posOffset>815975</wp:posOffset>
                  </wp:positionH>
                  <wp:positionV relativeFrom="paragraph">
                    <wp:posOffset>-90170</wp:posOffset>
                  </wp:positionV>
                  <wp:extent cx="4512945" cy="523875"/>
                  <wp:effectExtent l="0" t="0" r="0" b="0"/>
                  <wp:wrapSquare wrapText="bothSides"/>
                  <wp:docPr id="3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1294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58BF" w:rsidRPr="00473474" w:rsidRDefault="000A58BF" w:rsidP="00473474">
                              <w:pPr>
                                <w:spacing w:after="0" w:line="240" w:lineRule="auto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C00CC8">
                                <w:rPr>
                                  <w:color w:val="808080" w:themeColor="background1" w:themeShade="80"/>
                                  <w:sz w:val="16"/>
                                </w:rPr>
                                <w:t xml:space="preserve">СЕКТОРАЛЬНАЯ ОЦЕНКА РИСКОВ ОТМЫВАНИЯ (ЛЕГАЛИЗАЦИИ) ДЕНЕЖНЫХ СРЕДСТВ И ФИНАСИРОВАНИЯ ТЕРРОРИЗМА </w:t>
                              </w:r>
                              <w:r>
                                <w:rPr>
                                  <w:color w:val="808080" w:themeColor="background1" w:themeShade="80"/>
                                  <w:sz w:val="16"/>
                                </w:rPr>
                                <w:t>С ИСПОЛЬЗОВАНИЕМ</w:t>
                              </w:r>
                              <w:r w:rsidRPr="00C00CC8">
                                <w:rPr>
                                  <w:color w:val="808080" w:themeColor="background1" w:themeShade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 w:themeColor="background1" w:themeShade="80"/>
                                  <w:sz w:val="16"/>
                                </w:rPr>
                                <w:t>РИЭЛТОРОВ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69AF572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64.25pt;margin-top:-7.1pt;width:355.35pt;height:4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" filled="f" stroked="f">
                  <v:textbox>
                    <w:txbxContent>
                      <w:p w:rsidR="000A58BF" w:rsidRPr="00473474" w:rsidRDefault="000A58BF" w:rsidP="00473474">
                        <w:pPr>
                          <w:spacing w:after="0" w:line="240" w:lineRule="auto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C00CC8">
                          <w:rPr>
                            <w:color w:val="808080" w:themeColor="background1" w:themeShade="80"/>
                            <w:sz w:val="16"/>
                          </w:rPr>
                          <w:t xml:space="preserve">СЕКТОРАЛЬНАЯ ОЦЕНКА РИСКОВ ОТМЫВАНИЯ (ЛЕГАЛИЗАЦИИ) ДЕНЕЖНЫХ СРЕДСТВ И ФИНАСИРОВАНИЯ ТЕРРОРИЗМА </w:t>
                        </w:r>
                        <w:r>
                          <w:rPr>
                            <w:color w:val="808080" w:themeColor="background1" w:themeShade="80"/>
                            <w:sz w:val="16"/>
                          </w:rPr>
                          <w:t>С ИСПОЛЬЗОВАНИЕМ</w:t>
                        </w:r>
                        <w:r w:rsidRPr="00C00CC8">
                          <w:rPr>
                            <w:color w:val="808080" w:themeColor="background1" w:themeShade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808080" w:themeColor="background1" w:themeShade="80"/>
                            <w:sz w:val="16"/>
                          </w:rPr>
                          <w:t>РИЭЛТОРОВ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475212">
          <w:rPr>
            <w:b/>
          </w:rPr>
          <w:fldChar w:fldCharType="begin"/>
        </w:r>
        <w:r w:rsidRPr="00475212">
          <w:rPr>
            <w:b/>
          </w:rPr>
          <w:instrText>PAGE   \* MERGEFORMAT</w:instrText>
        </w:r>
        <w:r w:rsidRPr="00475212">
          <w:rPr>
            <w:b/>
          </w:rPr>
          <w:fldChar w:fldCharType="separate"/>
        </w:r>
        <w:r w:rsidR="00F61772">
          <w:rPr>
            <w:b/>
            <w:noProof/>
          </w:rPr>
          <w:t>4</w:t>
        </w:r>
        <w:r w:rsidRPr="00475212">
          <w:rPr>
            <w:b/>
          </w:rPr>
          <w:fldChar w:fldCharType="end"/>
        </w:r>
        <w:r>
          <w:rPr>
            <w:noProof/>
            <w:lang w:eastAsia="ru-RU"/>
          </w:rPr>
          <w:drawing>
            <wp:anchor distT="0" distB="0" distL="114300" distR="114300" simplePos="0" relativeHeight="251672576" behindDoc="1" locked="0" layoutInCell="1" allowOverlap="1" wp14:anchorId="2A34836D" wp14:editId="3BA2A552">
              <wp:simplePos x="0" y="0"/>
              <wp:positionH relativeFrom="page">
                <wp:posOffset>0</wp:posOffset>
              </wp:positionH>
              <wp:positionV relativeFrom="page">
                <wp:posOffset>9301480</wp:posOffset>
              </wp:positionV>
              <wp:extent cx="1710690" cy="1384795"/>
              <wp:effectExtent l="0" t="0" r="3810" b="6350"/>
              <wp:wrapNone/>
              <wp:docPr id="24" name="Рисунок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710690" cy="138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645394060"/>
      <w:docPartObj>
        <w:docPartGallery w:val="Page Numbers (Bottom of Page)"/>
        <w:docPartUnique/>
      </w:docPartObj>
    </w:sdtPr>
    <w:sdtEndPr/>
    <w:sdtContent>
      <w:p w:rsidR="000A58BF" w:rsidRPr="00A636C7" w:rsidRDefault="000A58BF" w:rsidP="00A636C7">
        <w:pPr>
          <w:pStyle w:val="aa"/>
          <w:ind w:left="-284"/>
          <w:rPr>
            <w:b/>
          </w:rPr>
        </w:pPr>
        <w:r w:rsidRPr="00A636C7">
          <w:rPr>
            <w:b/>
          </w:rPr>
          <w:fldChar w:fldCharType="begin"/>
        </w:r>
        <w:r w:rsidRPr="00A636C7">
          <w:rPr>
            <w:b/>
          </w:rPr>
          <w:instrText>PAGE   \* MERGEFORMAT</w:instrText>
        </w:r>
        <w:r w:rsidRPr="00A636C7">
          <w:rPr>
            <w:b/>
          </w:rPr>
          <w:fldChar w:fldCharType="separate"/>
        </w:r>
        <w:r w:rsidR="00F61772">
          <w:rPr>
            <w:b/>
            <w:noProof/>
          </w:rPr>
          <w:t>10</w:t>
        </w:r>
        <w:r w:rsidRPr="00A636C7">
          <w:rPr>
            <w:b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231247"/>
      <w:docPartObj>
        <w:docPartGallery w:val="Page Numbers (Bottom of Page)"/>
        <w:docPartUnique/>
      </w:docPartObj>
    </w:sdtPr>
    <w:sdtEndPr>
      <w:rPr>
        <w:b/>
      </w:rPr>
    </w:sdtEndPr>
    <w:sdtContent>
      <w:p w:rsidR="000A58BF" w:rsidRPr="00E55129" w:rsidRDefault="000A58BF" w:rsidP="00E55129">
        <w:pPr>
          <w:pStyle w:val="aa"/>
          <w:tabs>
            <w:tab w:val="clear" w:pos="9355"/>
          </w:tabs>
          <w:ind w:right="-285"/>
          <w:jc w:val="right"/>
          <w:rPr>
            <w:b/>
          </w:rPr>
        </w:pPr>
        <w:r w:rsidRPr="00E55129">
          <w:rPr>
            <w:b/>
          </w:rPr>
          <w:fldChar w:fldCharType="begin"/>
        </w:r>
        <w:r w:rsidRPr="00E55129">
          <w:rPr>
            <w:b/>
          </w:rPr>
          <w:instrText>PAGE   \* MERGEFORMAT</w:instrText>
        </w:r>
        <w:r w:rsidRPr="00E55129">
          <w:rPr>
            <w:b/>
          </w:rPr>
          <w:fldChar w:fldCharType="separate"/>
        </w:r>
        <w:r w:rsidR="00242760">
          <w:rPr>
            <w:b/>
            <w:noProof/>
          </w:rPr>
          <w:t>11</w:t>
        </w:r>
        <w:r w:rsidRPr="00E55129">
          <w:rPr>
            <w:b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F" w:rsidRDefault="000A58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BF" w:rsidRDefault="000A58BF" w:rsidP="00D2725F">
      <w:pPr>
        <w:spacing w:after="0" w:line="240" w:lineRule="auto"/>
      </w:pPr>
      <w:r>
        <w:separator/>
      </w:r>
    </w:p>
  </w:footnote>
  <w:footnote w:type="continuationSeparator" w:id="0">
    <w:p w:rsidR="000A58BF" w:rsidRDefault="000A58BF" w:rsidP="00D2725F">
      <w:pPr>
        <w:spacing w:after="0" w:line="240" w:lineRule="auto"/>
      </w:pPr>
      <w:r>
        <w:continuationSeparator/>
      </w:r>
    </w:p>
  </w:footnote>
  <w:footnote w:id="1">
    <w:p w:rsidR="000A58BF" w:rsidRPr="00C8466C" w:rsidRDefault="000A58BF" w:rsidP="00BF366C">
      <w:pPr>
        <w:pStyle w:val="a3"/>
        <w:keepLines/>
        <w:jc w:val="both"/>
        <w:rPr>
          <w:sz w:val="16"/>
          <w:szCs w:val="16"/>
        </w:rPr>
      </w:pPr>
      <w:r w:rsidRPr="00BF366C">
        <w:rPr>
          <w:rStyle w:val="a5"/>
          <w:sz w:val="16"/>
          <w:szCs w:val="16"/>
        </w:rPr>
        <w:footnoteRef/>
      </w:r>
      <w:r w:rsidRPr="00BF366C">
        <w:rPr>
          <w:rFonts w:eastAsia="Arial"/>
          <w:i/>
          <w:color w:val="000000" w:themeColor="text1"/>
          <w:sz w:val="16"/>
          <w:szCs w:val="16"/>
        </w:rPr>
        <w:t>Доля существенных нарушений требований законодательства о</w:t>
      </w:r>
      <w:r w:rsidRPr="00C8466C">
        <w:rPr>
          <w:rFonts w:eastAsia="Arial"/>
          <w:i/>
          <w:color w:val="000000" w:themeColor="text1"/>
          <w:sz w:val="16"/>
          <w:szCs w:val="16"/>
        </w:rPr>
        <w:t xml:space="preserve"> ПОД/ФТ (количество субъектов, привлеченных к ответственности по ч. 2 и ч. 3 ст. 15.27 КоАП РФ), выявленных в ходе проведенных проверок, н</w:t>
      </w:r>
      <w:r>
        <w:rPr>
          <w:rFonts w:eastAsia="Arial"/>
          <w:i/>
          <w:color w:val="000000" w:themeColor="text1"/>
          <w:sz w:val="16"/>
          <w:szCs w:val="16"/>
        </w:rPr>
        <w:t xml:space="preserve">езначительна, </w:t>
      </w:r>
      <w:r w:rsidR="00BF366C">
        <w:rPr>
          <w:rFonts w:eastAsia="Arial"/>
          <w:i/>
          <w:color w:val="000000" w:themeColor="text1"/>
          <w:sz w:val="16"/>
          <w:szCs w:val="16"/>
        </w:rPr>
        <w:t>и снизилась в 2017 году до 6% (против 11% в 2015 году)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F" w:rsidRDefault="000A58BF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F" w:rsidRDefault="000A58BF">
    <w:pPr>
      <w:pStyle w:val="a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F" w:rsidRPr="003B427B" w:rsidRDefault="000A58BF" w:rsidP="003B427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A3D" w:rsidRPr="00EE238B" w:rsidRDefault="002B7A3D">
    <w:pPr>
      <w:pStyle w:val="a8"/>
      <w:jc w:val="center"/>
    </w:pPr>
  </w:p>
  <w:p w:rsidR="002B7A3D" w:rsidRDefault="002B7A3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312563"/>
      <w:docPartObj>
        <w:docPartGallery w:val="Page Numbers (Top of Page)"/>
        <w:docPartUnique/>
      </w:docPartObj>
    </w:sdtPr>
    <w:sdtEndPr/>
    <w:sdtContent>
      <w:p w:rsidR="002B7A3D" w:rsidRDefault="002B7A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B7A3D" w:rsidRDefault="002B7A3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90053"/>
      <w:docPartObj>
        <w:docPartGallery w:val="Page Numbers (Top of Page)"/>
        <w:docPartUnique/>
      </w:docPartObj>
    </w:sdtPr>
    <w:sdtEndPr/>
    <w:sdtContent>
      <w:p w:rsidR="000A58BF" w:rsidRPr="00EE238B" w:rsidRDefault="000A58BF">
        <w:pPr>
          <w:pStyle w:val="a8"/>
          <w:jc w:val="center"/>
        </w:pPr>
        <w:r w:rsidRPr="00EE238B">
          <w:fldChar w:fldCharType="begin"/>
        </w:r>
        <w:r w:rsidRPr="00EE238B">
          <w:instrText>PAGE   \* MERGEFORMAT</w:instrText>
        </w:r>
        <w:r w:rsidRPr="00EE238B">
          <w:fldChar w:fldCharType="separate"/>
        </w:r>
        <w:r w:rsidR="00491554">
          <w:rPr>
            <w:noProof/>
          </w:rPr>
          <w:t>7</w:t>
        </w:r>
        <w:r w:rsidRPr="00EE238B">
          <w:fldChar w:fldCharType="end"/>
        </w:r>
      </w:p>
    </w:sdtContent>
  </w:sdt>
  <w:p w:rsidR="000A58BF" w:rsidRDefault="000A58BF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379134"/>
      <w:docPartObj>
        <w:docPartGallery w:val="Page Numbers (Top of Page)"/>
        <w:docPartUnique/>
      </w:docPartObj>
    </w:sdtPr>
    <w:sdtEndPr/>
    <w:sdtContent>
      <w:p w:rsidR="000A58BF" w:rsidRDefault="000A58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A58BF" w:rsidRDefault="000A58BF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F" w:rsidRPr="00EE238B" w:rsidRDefault="000A58BF">
    <w:pPr>
      <w:pStyle w:val="a8"/>
      <w:jc w:val="center"/>
    </w:pPr>
  </w:p>
  <w:p w:rsidR="000A58BF" w:rsidRDefault="000A58BF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148650"/>
      <w:docPartObj>
        <w:docPartGallery w:val="Page Numbers (Top of Page)"/>
        <w:docPartUnique/>
      </w:docPartObj>
    </w:sdtPr>
    <w:sdtEndPr/>
    <w:sdtContent>
      <w:p w:rsidR="000A58BF" w:rsidRDefault="000A58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A58BF" w:rsidRDefault="000A58BF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BF" w:rsidRPr="00EE238B" w:rsidRDefault="000A58BF">
    <w:pPr>
      <w:pStyle w:val="a8"/>
      <w:jc w:val="center"/>
    </w:pPr>
  </w:p>
  <w:p w:rsidR="000A58BF" w:rsidRDefault="000A58BF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6711"/>
      <w:docPartObj>
        <w:docPartGallery w:val="Page Numbers (Top of Page)"/>
        <w:docPartUnique/>
      </w:docPartObj>
    </w:sdtPr>
    <w:sdtEndPr/>
    <w:sdtContent>
      <w:p w:rsidR="000A58BF" w:rsidRDefault="000A58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A58BF" w:rsidRDefault="000A58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9A7"/>
    <w:multiLevelType w:val="hybridMultilevel"/>
    <w:tmpl w:val="277E9B6C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902"/>
    <w:multiLevelType w:val="hybridMultilevel"/>
    <w:tmpl w:val="D37CC854"/>
    <w:lvl w:ilvl="0" w:tplc="85CC8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4653DC"/>
    <w:multiLevelType w:val="hybridMultilevel"/>
    <w:tmpl w:val="C6D0ACD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78A3"/>
    <w:multiLevelType w:val="hybridMultilevel"/>
    <w:tmpl w:val="CFB611D4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344C"/>
    <w:multiLevelType w:val="hybridMultilevel"/>
    <w:tmpl w:val="2676F15E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84A83"/>
    <w:multiLevelType w:val="hybridMultilevel"/>
    <w:tmpl w:val="70D07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D4C6E"/>
    <w:multiLevelType w:val="hybridMultilevel"/>
    <w:tmpl w:val="99723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3CD1"/>
    <w:multiLevelType w:val="hybridMultilevel"/>
    <w:tmpl w:val="02BE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D3BA6"/>
    <w:multiLevelType w:val="hybridMultilevel"/>
    <w:tmpl w:val="1A4E6C18"/>
    <w:lvl w:ilvl="0" w:tplc="85CC8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EB4034"/>
    <w:multiLevelType w:val="hybridMultilevel"/>
    <w:tmpl w:val="8EF021EA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64476"/>
    <w:multiLevelType w:val="hybridMultilevel"/>
    <w:tmpl w:val="5F86244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068DE"/>
    <w:multiLevelType w:val="hybridMultilevel"/>
    <w:tmpl w:val="B8120350"/>
    <w:lvl w:ilvl="0" w:tplc="85CC8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7670B6C"/>
    <w:multiLevelType w:val="hybridMultilevel"/>
    <w:tmpl w:val="E88CCB7A"/>
    <w:lvl w:ilvl="0" w:tplc="E8C6A92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C54B1"/>
    <w:multiLevelType w:val="hybridMultilevel"/>
    <w:tmpl w:val="4E266A86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EDC2570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0B1B84"/>
    <w:multiLevelType w:val="hybridMultilevel"/>
    <w:tmpl w:val="B706E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264D6"/>
    <w:multiLevelType w:val="hybridMultilevel"/>
    <w:tmpl w:val="0484B13E"/>
    <w:lvl w:ilvl="0" w:tplc="FBAE107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735E3"/>
    <w:multiLevelType w:val="hybridMultilevel"/>
    <w:tmpl w:val="0750EB3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A3445"/>
    <w:multiLevelType w:val="multilevel"/>
    <w:tmpl w:val="DE867A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04C4942"/>
    <w:multiLevelType w:val="hybridMultilevel"/>
    <w:tmpl w:val="6F4E647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54A75"/>
    <w:multiLevelType w:val="hybridMultilevel"/>
    <w:tmpl w:val="1A68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D53A5"/>
    <w:multiLevelType w:val="hybridMultilevel"/>
    <w:tmpl w:val="5DA4D016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81CC9"/>
    <w:multiLevelType w:val="hybridMultilevel"/>
    <w:tmpl w:val="26B0A5C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AB40690"/>
    <w:multiLevelType w:val="hybridMultilevel"/>
    <w:tmpl w:val="D440316C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D70B55"/>
    <w:multiLevelType w:val="hybridMultilevel"/>
    <w:tmpl w:val="F13AF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36B1F"/>
    <w:multiLevelType w:val="hybridMultilevel"/>
    <w:tmpl w:val="B240F3B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F6A45"/>
    <w:multiLevelType w:val="multilevel"/>
    <w:tmpl w:val="35206F4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595959" w:themeColor="text1" w:themeTint="A6"/>
        <w:sz w:val="24"/>
        <w:szCs w:val="24"/>
      </w:rPr>
    </w:lvl>
    <w:lvl w:ilvl="1">
      <w:start w:val="1"/>
      <w:numFmt w:val="decimal"/>
      <w:pStyle w:val="21"/>
      <w:suff w:val="space"/>
      <w:lvlText w:val="%1.%2"/>
      <w:lvlJc w:val="left"/>
      <w:pPr>
        <w:ind w:left="859" w:hanging="576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pStyle w:val="31"/>
      <w:lvlText w:val="%3."/>
      <w:lvlJc w:val="left"/>
      <w:pPr>
        <w:ind w:left="720" w:hanging="360"/>
      </w:pPr>
      <w:rPr>
        <w:rFonts w:hint="default"/>
        <w:color w:val="4F81BD" w:themeColor="accent1"/>
      </w:rPr>
    </w:lvl>
    <w:lvl w:ilvl="3">
      <w:start w:val="1"/>
      <w:numFmt w:val="lowerRoman"/>
      <w:pStyle w:val="41"/>
      <w:lvlText w:val="%4."/>
      <w:lvlJc w:val="left"/>
      <w:pPr>
        <w:ind w:left="1080" w:hanging="360"/>
      </w:pPr>
      <w:rPr>
        <w:rFonts w:hint="default"/>
        <w:color w:val="4F81BD" w:themeColor="accent1"/>
      </w:rPr>
    </w:lvl>
    <w:lvl w:ilvl="4">
      <w:start w:val="1"/>
      <w:numFmt w:val="lowerLetter"/>
      <w:pStyle w:val="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8204F82"/>
    <w:multiLevelType w:val="hybridMultilevel"/>
    <w:tmpl w:val="D30A9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D0C18"/>
    <w:multiLevelType w:val="hybridMultilevel"/>
    <w:tmpl w:val="30B85506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B74CB"/>
    <w:multiLevelType w:val="hybridMultilevel"/>
    <w:tmpl w:val="9EF4A72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C3271"/>
    <w:multiLevelType w:val="hybridMultilevel"/>
    <w:tmpl w:val="B03433E2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987F09"/>
    <w:multiLevelType w:val="hybridMultilevel"/>
    <w:tmpl w:val="920C5192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E97D15"/>
    <w:multiLevelType w:val="hybridMultilevel"/>
    <w:tmpl w:val="CA0A98A6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26B4C"/>
    <w:multiLevelType w:val="hybridMultilevel"/>
    <w:tmpl w:val="136A308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D7C48B8"/>
    <w:multiLevelType w:val="hybridMultilevel"/>
    <w:tmpl w:val="7296768C"/>
    <w:lvl w:ilvl="0" w:tplc="8A820F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63393"/>
    <w:multiLevelType w:val="hybridMultilevel"/>
    <w:tmpl w:val="91C49FD6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2DF76B3"/>
    <w:multiLevelType w:val="hybridMultilevel"/>
    <w:tmpl w:val="114628EA"/>
    <w:lvl w:ilvl="0" w:tplc="1FAED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84410"/>
    <w:multiLevelType w:val="hybridMultilevel"/>
    <w:tmpl w:val="B980E03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76B5DB1"/>
    <w:multiLevelType w:val="hybridMultilevel"/>
    <w:tmpl w:val="2146C1C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A6E89"/>
    <w:multiLevelType w:val="hybridMultilevel"/>
    <w:tmpl w:val="BA5A7F22"/>
    <w:lvl w:ilvl="0" w:tplc="FFECA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5765B"/>
    <w:multiLevelType w:val="hybridMultilevel"/>
    <w:tmpl w:val="B5CAA22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340C6B"/>
    <w:multiLevelType w:val="hybridMultilevel"/>
    <w:tmpl w:val="3E5481A2"/>
    <w:lvl w:ilvl="0" w:tplc="1FAED5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9507B4"/>
    <w:multiLevelType w:val="hybridMultilevel"/>
    <w:tmpl w:val="82046052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902F7"/>
    <w:multiLevelType w:val="hybridMultilevel"/>
    <w:tmpl w:val="D332C4AE"/>
    <w:lvl w:ilvl="0" w:tplc="DCF2E5A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B5144"/>
    <w:multiLevelType w:val="hybridMultilevel"/>
    <w:tmpl w:val="ECDC36E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731F4"/>
    <w:multiLevelType w:val="hybridMultilevel"/>
    <w:tmpl w:val="1F36D146"/>
    <w:lvl w:ilvl="0" w:tplc="6FB86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0062EF"/>
    <w:multiLevelType w:val="hybridMultilevel"/>
    <w:tmpl w:val="9110BBAA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586A30"/>
    <w:multiLevelType w:val="hybridMultilevel"/>
    <w:tmpl w:val="F222CDB6"/>
    <w:lvl w:ilvl="0" w:tplc="85CC8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F09418A"/>
    <w:multiLevelType w:val="hybridMultilevel"/>
    <w:tmpl w:val="06149D7A"/>
    <w:lvl w:ilvl="0" w:tplc="2A60044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6"/>
  </w:num>
  <w:num w:numId="3">
    <w:abstractNumId w:val="1"/>
  </w:num>
  <w:num w:numId="4">
    <w:abstractNumId w:val="11"/>
  </w:num>
  <w:num w:numId="5">
    <w:abstractNumId w:val="29"/>
  </w:num>
  <w:num w:numId="6">
    <w:abstractNumId w:val="34"/>
  </w:num>
  <w:num w:numId="7">
    <w:abstractNumId w:val="39"/>
  </w:num>
  <w:num w:numId="8">
    <w:abstractNumId w:val="8"/>
  </w:num>
  <w:num w:numId="9">
    <w:abstractNumId w:val="45"/>
  </w:num>
  <w:num w:numId="10">
    <w:abstractNumId w:val="32"/>
  </w:num>
  <w:num w:numId="11">
    <w:abstractNumId w:val="16"/>
  </w:num>
  <w:num w:numId="12">
    <w:abstractNumId w:val="4"/>
  </w:num>
  <w:num w:numId="13">
    <w:abstractNumId w:val="36"/>
  </w:num>
  <w:num w:numId="14">
    <w:abstractNumId w:val="13"/>
  </w:num>
  <w:num w:numId="15">
    <w:abstractNumId w:val="21"/>
  </w:num>
  <w:num w:numId="16">
    <w:abstractNumId w:val="22"/>
  </w:num>
  <w:num w:numId="17">
    <w:abstractNumId w:val="10"/>
  </w:num>
  <w:num w:numId="18">
    <w:abstractNumId w:val="20"/>
  </w:num>
  <w:num w:numId="19">
    <w:abstractNumId w:val="43"/>
  </w:num>
  <w:num w:numId="20">
    <w:abstractNumId w:val="26"/>
  </w:num>
  <w:num w:numId="21">
    <w:abstractNumId w:val="23"/>
  </w:num>
  <w:num w:numId="22">
    <w:abstractNumId w:val="31"/>
  </w:num>
  <w:num w:numId="23">
    <w:abstractNumId w:val="28"/>
  </w:num>
  <w:num w:numId="24">
    <w:abstractNumId w:val="9"/>
  </w:num>
  <w:num w:numId="25">
    <w:abstractNumId w:val="18"/>
  </w:num>
  <w:num w:numId="26">
    <w:abstractNumId w:val="24"/>
  </w:num>
  <w:num w:numId="27">
    <w:abstractNumId w:val="0"/>
  </w:num>
  <w:num w:numId="28">
    <w:abstractNumId w:val="12"/>
  </w:num>
  <w:num w:numId="29">
    <w:abstractNumId w:val="7"/>
  </w:num>
  <w:num w:numId="30">
    <w:abstractNumId w:val="37"/>
  </w:num>
  <w:num w:numId="31">
    <w:abstractNumId w:val="33"/>
  </w:num>
  <w:num w:numId="32">
    <w:abstractNumId w:val="3"/>
  </w:num>
  <w:num w:numId="33">
    <w:abstractNumId w:val="15"/>
  </w:num>
  <w:num w:numId="34">
    <w:abstractNumId w:val="2"/>
  </w:num>
  <w:num w:numId="35">
    <w:abstractNumId w:val="30"/>
  </w:num>
  <w:num w:numId="36">
    <w:abstractNumId w:val="42"/>
  </w:num>
  <w:num w:numId="37">
    <w:abstractNumId w:val="14"/>
  </w:num>
  <w:num w:numId="38">
    <w:abstractNumId w:val="27"/>
  </w:num>
  <w:num w:numId="39">
    <w:abstractNumId w:val="41"/>
  </w:num>
  <w:num w:numId="40">
    <w:abstractNumId w:val="38"/>
  </w:num>
  <w:num w:numId="41">
    <w:abstractNumId w:val="25"/>
  </w:num>
  <w:num w:numId="42">
    <w:abstractNumId w:val="35"/>
  </w:num>
  <w:num w:numId="43">
    <w:abstractNumId w:val="40"/>
  </w:num>
  <w:num w:numId="44">
    <w:abstractNumId w:val="44"/>
  </w:num>
  <w:num w:numId="45">
    <w:abstractNumId w:val="6"/>
  </w:num>
  <w:num w:numId="46">
    <w:abstractNumId w:val="47"/>
  </w:num>
  <w:num w:numId="47">
    <w:abstractNumId w:val="1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defaultTabStop w:val="708"/>
  <w:autoHyphenation/>
  <w:evenAndOddHeaders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4F"/>
    <w:rsid w:val="00002BFB"/>
    <w:rsid w:val="00006535"/>
    <w:rsid w:val="00010E14"/>
    <w:rsid w:val="00011A95"/>
    <w:rsid w:val="000121E8"/>
    <w:rsid w:val="0001304A"/>
    <w:rsid w:val="00025225"/>
    <w:rsid w:val="0003086C"/>
    <w:rsid w:val="0003347B"/>
    <w:rsid w:val="00035762"/>
    <w:rsid w:val="0003723C"/>
    <w:rsid w:val="00037853"/>
    <w:rsid w:val="0004148B"/>
    <w:rsid w:val="00043872"/>
    <w:rsid w:val="00047488"/>
    <w:rsid w:val="000547C2"/>
    <w:rsid w:val="0005775B"/>
    <w:rsid w:val="00063523"/>
    <w:rsid w:val="0007658F"/>
    <w:rsid w:val="00077750"/>
    <w:rsid w:val="00081D15"/>
    <w:rsid w:val="00084C3C"/>
    <w:rsid w:val="000856A3"/>
    <w:rsid w:val="00091533"/>
    <w:rsid w:val="00097653"/>
    <w:rsid w:val="000A4359"/>
    <w:rsid w:val="000A58BF"/>
    <w:rsid w:val="000B2A3D"/>
    <w:rsid w:val="000B5890"/>
    <w:rsid w:val="000B7A58"/>
    <w:rsid w:val="000B7DF9"/>
    <w:rsid w:val="000C240A"/>
    <w:rsid w:val="000C2561"/>
    <w:rsid w:val="000C39E7"/>
    <w:rsid w:val="000C3DBF"/>
    <w:rsid w:val="000D30FD"/>
    <w:rsid w:val="000E1B25"/>
    <w:rsid w:val="000E239E"/>
    <w:rsid w:val="000E243E"/>
    <w:rsid w:val="000F1552"/>
    <w:rsid w:val="000F5305"/>
    <w:rsid w:val="00102DC7"/>
    <w:rsid w:val="001053F0"/>
    <w:rsid w:val="00106A28"/>
    <w:rsid w:val="001159DA"/>
    <w:rsid w:val="00117213"/>
    <w:rsid w:val="0012118B"/>
    <w:rsid w:val="001249C1"/>
    <w:rsid w:val="001250EE"/>
    <w:rsid w:val="0012679F"/>
    <w:rsid w:val="00133DBA"/>
    <w:rsid w:val="0013701A"/>
    <w:rsid w:val="00140EE2"/>
    <w:rsid w:val="001414CB"/>
    <w:rsid w:val="00141557"/>
    <w:rsid w:val="00142AAB"/>
    <w:rsid w:val="00143117"/>
    <w:rsid w:val="001433AD"/>
    <w:rsid w:val="00143912"/>
    <w:rsid w:val="001440B8"/>
    <w:rsid w:val="00150DF6"/>
    <w:rsid w:val="00151BE2"/>
    <w:rsid w:val="00157597"/>
    <w:rsid w:val="00157897"/>
    <w:rsid w:val="001770A6"/>
    <w:rsid w:val="00181F17"/>
    <w:rsid w:val="00187D3C"/>
    <w:rsid w:val="00192650"/>
    <w:rsid w:val="00192DE7"/>
    <w:rsid w:val="001937EB"/>
    <w:rsid w:val="001A102F"/>
    <w:rsid w:val="001A5537"/>
    <w:rsid w:val="001B0BD7"/>
    <w:rsid w:val="001B4546"/>
    <w:rsid w:val="001B70AF"/>
    <w:rsid w:val="001C09CE"/>
    <w:rsid w:val="001C3632"/>
    <w:rsid w:val="001C543C"/>
    <w:rsid w:val="001C7EFD"/>
    <w:rsid w:val="001E3109"/>
    <w:rsid w:val="001F14A5"/>
    <w:rsid w:val="001F5BFE"/>
    <w:rsid w:val="001F6CE6"/>
    <w:rsid w:val="001F7286"/>
    <w:rsid w:val="00204B1A"/>
    <w:rsid w:val="00205A9E"/>
    <w:rsid w:val="00206318"/>
    <w:rsid w:val="00207337"/>
    <w:rsid w:val="00211B05"/>
    <w:rsid w:val="00212A3F"/>
    <w:rsid w:val="00215F63"/>
    <w:rsid w:val="002160A3"/>
    <w:rsid w:val="00216603"/>
    <w:rsid w:val="002202A1"/>
    <w:rsid w:val="00220E6D"/>
    <w:rsid w:val="00221FAE"/>
    <w:rsid w:val="00222E25"/>
    <w:rsid w:val="0022398F"/>
    <w:rsid w:val="0022685C"/>
    <w:rsid w:val="00234AF2"/>
    <w:rsid w:val="00237734"/>
    <w:rsid w:val="00240388"/>
    <w:rsid w:val="00242760"/>
    <w:rsid w:val="002444AA"/>
    <w:rsid w:val="00250092"/>
    <w:rsid w:val="00265C1A"/>
    <w:rsid w:val="002669E1"/>
    <w:rsid w:val="00267D94"/>
    <w:rsid w:val="00270EC6"/>
    <w:rsid w:val="0027291E"/>
    <w:rsid w:val="00274BE6"/>
    <w:rsid w:val="00291C00"/>
    <w:rsid w:val="002A110E"/>
    <w:rsid w:val="002A5E46"/>
    <w:rsid w:val="002A6E32"/>
    <w:rsid w:val="002A7E67"/>
    <w:rsid w:val="002B01D6"/>
    <w:rsid w:val="002B320D"/>
    <w:rsid w:val="002B41CD"/>
    <w:rsid w:val="002B7A3D"/>
    <w:rsid w:val="002C456B"/>
    <w:rsid w:val="002D2543"/>
    <w:rsid w:val="002D2600"/>
    <w:rsid w:val="002D2C97"/>
    <w:rsid w:val="002D3111"/>
    <w:rsid w:val="002D3A94"/>
    <w:rsid w:val="002D3B73"/>
    <w:rsid w:val="002D546A"/>
    <w:rsid w:val="002D5FD1"/>
    <w:rsid w:val="002D75E7"/>
    <w:rsid w:val="002F1AA8"/>
    <w:rsid w:val="002F2AE6"/>
    <w:rsid w:val="00305069"/>
    <w:rsid w:val="00306FA6"/>
    <w:rsid w:val="00307C05"/>
    <w:rsid w:val="00310360"/>
    <w:rsid w:val="003126AD"/>
    <w:rsid w:val="003139B4"/>
    <w:rsid w:val="00314C8C"/>
    <w:rsid w:val="0032072D"/>
    <w:rsid w:val="003245A8"/>
    <w:rsid w:val="00325549"/>
    <w:rsid w:val="003264B8"/>
    <w:rsid w:val="00327B78"/>
    <w:rsid w:val="00327DF8"/>
    <w:rsid w:val="00331AAD"/>
    <w:rsid w:val="00331D94"/>
    <w:rsid w:val="003357B8"/>
    <w:rsid w:val="0033656B"/>
    <w:rsid w:val="00336DF9"/>
    <w:rsid w:val="00345E33"/>
    <w:rsid w:val="00350A1A"/>
    <w:rsid w:val="00351F2F"/>
    <w:rsid w:val="003552E8"/>
    <w:rsid w:val="003611F6"/>
    <w:rsid w:val="00362FBA"/>
    <w:rsid w:val="00364406"/>
    <w:rsid w:val="0036704A"/>
    <w:rsid w:val="00367E38"/>
    <w:rsid w:val="00372CD8"/>
    <w:rsid w:val="00372CE8"/>
    <w:rsid w:val="0037371B"/>
    <w:rsid w:val="00377B3F"/>
    <w:rsid w:val="003821E8"/>
    <w:rsid w:val="00384859"/>
    <w:rsid w:val="003857CB"/>
    <w:rsid w:val="00385DF8"/>
    <w:rsid w:val="00386462"/>
    <w:rsid w:val="00391939"/>
    <w:rsid w:val="00394DBE"/>
    <w:rsid w:val="003951A9"/>
    <w:rsid w:val="003958A6"/>
    <w:rsid w:val="00397505"/>
    <w:rsid w:val="003A02F8"/>
    <w:rsid w:val="003A7151"/>
    <w:rsid w:val="003B07E0"/>
    <w:rsid w:val="003B1FD8"/>
    <w:rsid w:val="003B427B"/>
    <w:rsid w:val="003B452A"/>
    <w:rsid w:val="003B579B"/>
    <w:rsid w:val="003C2A32"/>
    <w:rsid w:val="003C6C87"/>
    <w:rsid w:val="003D01F6"/>
    <w:rsid w:val="003D478A"/>
    <w:rsid w:val="003D53D0"/>
    <w:rsid w:val="003D5BA4"/>
    <w:rsid w:val="003D7D5A"/>
    <w:rsid w:val="003F383D"/>
    <w:rsid w:val="003F5071"/>
    <w:rsid w:val="003F69FA"/>
    <w:rsid w:val="004031F3"/>
    <w:rsid w:val="00403ABB"/>
    <w:rsid w:val="00404976"/>
    <w:rsid w:val="0040508C"/>
    <w:rsid w:val="00410BEF"/>
    <w:rsid w:val="00412B4B"/>
    <w:rsid w:val="00413D80"/>
    <w:rsid w:val="004151D0"/>
    <w:rsid w:val="00423D42"/>
    <w:rsid w:val="00423F48"/>
    <w:rsid w:val="0042456E"/>
    <w:rsid w:val="00434CD5"/>
    <w:rsid w:val="0044582B"/>
    <w:rsid w:val="00445CD4"/>
    <w:rsid w:val="0044723E"/>
    <w:rsid w:val="00447A0C"/>
    <w:rsid w:val="00447E53"/>
    <w:rsid w:val="00450A5C"/>
    <w:rsid w:val="00462A16"/>
    <w:rsid w:val="00473474"/>
    <w:rsid w:val="00475212"/>
    <w:rsid w:val="004901DD"/>
    <w:rsid w:val="00491554"/>
    <w:rsid w:val="004920E5"/>
    <w:rsid w:val="0049468B"/>
    <w:rsid w:val="004953C2"/>
    <w:rsid w:val="004A0CB0"/>
    <w:rsid w:val="004C2568"/>
    <w:rsid w:val="004C6B5C"/>
    <w:rsid w:val="004C7A9D"/>
    <w:rsid w:val="004D05C6"/>
    <w:rsid w:val="004D115F"/>
    <w:rsid w:val="004D2044"/>
    <w:rsid w:val="004D3730"/>
    <w:rsid w:val="004E0125"/>
    <w:rsid w:val="004E4639"/>
    <w:rsid w:val="004F1789"/>
    <w:rsid w:val="004F3030"/>
    <w:rsid w:val="004F3F89"/>
    <w:rsid w:val="004F7346"/>
    <w:rsid w:val="005042F0"/>
    <w:rsid w:val="00510766"/>
    <w:rsid w:val="00512677"/>
    <w:rsid w:val="005127BB"/>
    <w:rsid w:val="005165CA"/>
    <w:rsid w:val="005222B1"/>
    <w:rsid w:val="00523C58"/>
    <w:rsid w:val="005257DE"/>
    <w:rsid w:val="00527225"/>
    <w:rsid w:val="00540790"/>
    <w:rsid w:val="00541FC9"/>
    <w:rsid w:val="00545886"/>
    <w:rsid w:val="00550275"/>
    <w:rsid w:val="0055087E"/>
    <w:rsid w:val="005512C9"/>
    <w:rsid w:val="00553E2A"/>
    <w:rsid w:val="00563BB3"/>
    <w:rsid w:val="00564722"/>
    <w:rsid w:val="00565B62"/>
    <w:rsid w:val="00572FEE"/>
    <w:rsid w:val="00574920"/>
    <w:rsid w:val="005754EA"/>
    <w:rsid w:val="00586240"/>
    <w:rsid w:val="00591799"/>
    <w:rsid w:val="005973AC"/>
    <w:rsid w:val="005A1D07"/>
    <w:rsid w:val="005A3494"/>
    <w:rsid w:val="005A4ECC"/>
    <w:rsid w:val="005A74E2"/>
    <w:rsid w:val="005B530F"/>
    <w:rsid w:val="005C0A67"/>
    <w:rsid w:val="005C1E29"/>
    <w:rsid w:val="005C6688"/>
    <w:rsid w:val="005C7E87"/>
    <w:rsid w:val="005D0E97"/>
    <w:rsid w:val="005D24CD"/>
    <w:rsid w:val="005D41F0"/>
    <w:rsid w:val="005D555B"/>
    <w:rsid w:val="005D7D94"/>
    <w:rsid w:val="005E1602"/>
    <w:rsid w:val="005E2025"/>
    <w:rsid w:val="005E37D3"/>
    <w:rsid w:val="005E3AA1"/>
    <w:rsid w:val="005E3D3D"/>
    <w:rsid w:val="005E654A"/>
    <w:rsid w:val="005E7426"/>
    <w:rsid w:val="005F0548"/>
    <w:rsid w:val="005F3544"/>
    <w:rsid w:val="005F6929"/>
    <w:rsid w:val="0060294C"/>
    <w:rsid w:val="0060364B"/>
    <w:rsid w:val="00605041"/>
    <w:rsid w:val="00606BF5"/>
    <w:rsid w:val="00611E1D"/>
    <w:rsid w:val="00614D19"/>
    <w:rsid w:val="006208F8"/>
    <w:rsid w:val="006237BA"/>
    <w:rsid w:val="00631FD2"/>
    <w:rsid w:val="006353E2"/>
    <w:rsid w:val="0063718C"/>
    <w:rsid w:val="00641115"/>
    <w:rsid w:val="006427C7"/>
    <w:rsid w:val="00644FD1"/>
    <w:rsid w:val="00647D20"/>
    <w:rsid w:val="00647F88"/>
    <w:rsid w:val="00650F9E"/>
    <w:rsid w:val="00653F37"/>
    <w:rsid w:val="00654183"/>
    <w:rsid w:val="00654430"/>
    <w:rsid w:val="00655519"/>
    <w:rsid w:val="00657613"/>
    <w:rsid w:val="0066609B"/>
    <w:rsid w:val="006701FE"/>
    <w:rsid w:val="006703E5"/>
    <w:rsid w:val="00671E67"/>
    <w:rsid w:val="00675A13"/>
    <w:rsid w:val="006767AB"/>
    <w:rsid w:val="00677045"/>
    <w:rsid w:val="00681D74"/>
    <w:rsid w:val="006928F1"/>
    <w:rsid w:val="006A2C30"/>
    <w:rsid w:val="006A6B3B"/>
    <w:rsid w:val="006B60B5"/>
    <w:rsid w:val="006B76C2"/>
    <w:rsid w:val="006C1528"/>
    <w:rsid w:val="006C239F"/>
    <w:rsid w:val="006C4CAA"/>
    <w:rsid w:val="006C5542"/>
    <w:rsid w:val="006C6206"/>
    <w:rsid w:val="006D6242"/>
    <w:rsid w:val="006E3EE3"/>
    <w:rsid w:val="006E5335"/>
    <w:rsid w:val="006E5DEE"/>
    <w:rsid w:val="006F1EAB"/>
    <w:rsid w:val="006F3B3E"/>
    <w:rsid w:val="006F52A9"/>
    <w:rsid w:val="006F6EF6"/>
    <w:rsid w:val="007069EB"/>
    <w:rsid w:val="007143D1"/>
    <w:rsid w:val="007150DF"/>
    <w:rsid w:val="00720EDA"/>
    <w:rsid w:val="00723FA0"/>
    <w:rsid w:val="00724F0F"/>
    <w:rsid w:val="00725018"/>
    <w:rsid w:val="007275DE"/>
    <w:rsid w:val="00742039"/>
    <w:rsid w:val="00742939"/>
    <w:rsid w:val="00743DAB"/>
    <w:rsid w:val="00744898"/>
    <w:rsid w:val="0075129F"/>
    <w:rsid w:val="00752882"/>
    <w:rsid w:val="007528B4"/>
    <w:rsid w:val="00771C33"/>
    <w:rsid w:val="007766D1"/>
    <w:rsid w:val="0078501D"/>
    <w:rsid w:val="0079780E"/>
    <w:rsid w:val="007A1B3C"/>
    <w:rsid w:val="007A3599"/>
    <w:rsid w:val="007A5A8A"/>
    <w:rsid w:val="007A67EF"/>
    <w:rsid w:val="007B49C6"/>
    <w:rsid w:val="007B4A3A"/>
    <w:rsid w:val="007C00CD"/>
    <w:rsid w:val="007C5682"/>
    <w:rsid w:val="007D1A92"/>
    <w:rsid w:val="007D1A98"/>
    <w:rsid w:val="007D7A96"/>
    <w:rsid w:val="007E0A79"/>
    <w:rsid w:val="007E279D"/>
    <w:rsid w:val="007E2E73"/>
    <w:rsid w:val="007E613E"/>
    <w:rsid w:val="007F6EE1"/>
    <w:rsid w:val="008029E7"/>
    <w:rsid w:val="00802B9D"/>
    <w:rsid w:val="00804B8B"/>
    <w:rsid w:val="00810DDC"/>
    <w:rsid w:val="008136DC"/>
    <w:rsid w:val="00813EDB"/>
    <w:rsid w:val="00816A19"/>
    <w:rsid w:val="00817347"/>
    <w:rsid w:val="008251DC"/>
    <w:rsid w:val="00834D38"/>
    <w:rsid w:val="00836951"/>
    <w:rsid w:val="00836B31"/>
    <w:rsid w:val="00837CBC"/>
    <w:rsid w:val="008425A3"/>
    <w:rsid w:val="008458C5"/>
    <w:rsid w:val="00845FA6"/>
    <w:rsid w:val="00846964"/>
    <w:rsid w:val="008472DD"/>
    <w:rsid w:val="00847EF4"/>
    <w:rsid w:val="00850C68"/>
    <w:rsid w:val="00850E93"/>
    <w:rsid w:val="0086143D"/>
    <w:rsid w:val="008617B8"/>
    <w:rsid w:val="008654B1"/>
    <w:rsid w:val="00866383"/>
    <w:rsid w:val="008677CF"/>
    <w:rsid w:val="00872A48"/>
    <w:rsid w:val="00872B5E"/>
    <w:rsid w:val="00875978"/>
    <w:rsid w:val="008775CD"/>
    <w:rsid w:val="008810DC"/>
    <w:rsid w:val="00881F60"/>
    <w:rsid w:val="008823B6"/>
    <w:rsid w:val="00882D91"/>
    <w:rsid w:val="008844D3"/>
    <w:rsid w:val="00884CD5"/>
    <w:rsid w:val="00885068"/>
    <w:rsid w:val="00890F7D"/>
    <w:rsid w:val="00892459"/>
    <w:rsid w:val="008935BD"/>
    <w:rsid w:val="008952A8"/>
    <w:rsid w:val="008A0169"/>
    <w:rsid w:val="008A2127"/>
    <w:rsid w:val="008A2788"/>
    <w:rsid w:val="008A4D91"/>
    <w:rsid w:val="008B2206"/>
    <w:rsid w:val="008B5851"/>
    <w:rsid w:val="008B5B6C"/>
    <w:rsid w:val="008B627B"/>
    <w:rsid w:val="008C65F5"/>
    <w:rsid w:val="008C732B"/>
    <w:rsid w:val="008D1384"/>
    <w:rsid w:val="008D1C4B"/>
    <w:rsid w:val="008D218D"/>
    <w:rsid w:val="008D2502"/>
    <w:rsid w:val="008D5BDE"/>
    <w:rsid w:val="008D7EA8"/>
    <w:rsid w:val="008E230D"/>
    <w:rsid w:val="008E264D"/>
    <w:rsid w:val="008E34F9"/>
    <w:rsid w:val="008E4543"/>
    <w:rsid w:val="008E4A8C"/>
    <w:rsid w:val="008E55A3"/>
    <w:rsid w:val="008E6346"/>
    <w:rsid w:val="008F4B01"/>
    <w:rsid w:val="008F59E3"/>
    <w:rsid w:val="0090031F"/>
    <w:rsid w:val="0090428D"/>
    <w:rsid w:val="009044E0"/>
    <w:rsid w:val="009113EC"/>
    <w:rsid w:val="009205D8"/>
    <w:rsid w:val="00920C15"/>
    <w:rsid w:val="009223F5"/>
    <w:rsid w:val="00925BDC"/>
    <w:rsid w:val="009262AF"/>
    <w:rsid w:val="00932C3F"/>
    <w:rsid w:val="00933A08"/>
    <w:rsid w:val="00936C28"/>
    <w:rsid w:val="00944F34"/>
    <w:rsid w:val="0094783A"/>
    <w:rsid w:val="00951A4F"/>
    <w:rsid w:val="009522F4"/>
    <w:rsid w:val="00957610"/>
    <w:rsid w:val="00963F5D"/>
    <w:rsid w:val="0097276B"/>
    <w:rsid w:val="00973F8B"/>
    <w:rsid w:val="00985F81"/>
    <w:rsid w:val="009862E9"/>
    <w:rsid w:val="00990C30"/>
    <w:rsid w:val="0099100A"/>
    <w:rsid w:val="00993975"/>
    <w:rsid w:val="00995C17"/>
    <w:rsid w:val="009A5C96"/>
    <w:rsid w:val="009B04B8"/>
    <w:rsid w:val="009B2E64"/>
    <w:rsid w:val="009B2F40"/>
    <w:rsid w:val="009B60D3"/>
    <w:rsid w:val="009B7FA0"/>
    <w:rsid w:val="009C08E8"/>
    <w:rsid w:val="009C0CF9"/>
    <w:rsid w:val="009C23D6"/>
    <w:rsid w:val="009C3249"/>
    <w:rsid w:val="009C4E1F"/>
    <w:rsid w:val="009C78AC"/>
    <w:rsid w:val="009D7525"/>
    <w:rsid w:val="009D7AF7"/>
    <w:rsid w:val="009E501D"/>
    <w:rsid w:val="009E656E"/>
    <w:rsid w:val="009E7A10"/>
    <w:rsid w:val="00A00FA3"/>
    <w:rsid w:val="00A04B58"/>
    <w:rsid w:val="00A054A9"/>
    <w:rsid w:val="00A06D9C"/>
    <w:rsid w:val="00A07440"/>
    <w:rsid w:val="00A075C3"/>
    <w:rsid w:val="00A105CA"/>
    <w:rsid w:val="00A11DA5"/>
    <w:rsid w:val="00A32734"/>
    <w:rsid w:val="00A34F18"/>
    <w:rsid w:val="00A35FED"/>
    <w:rsid w:val="00A3681E"/>
    <w:rsid w:val="00A37075"/>
    <w:rsid w:val="00A3710C"/>
    <w:rsid w:val="00A4037D"/>
    <w:rsid w:val="00A41AEB"/>
    <w:rsid w:val="00A42EF3"/>
    <w:rsid w:val="00A47487"/>
    <w:rsid w:val="00A478A2"/>
    <w:rsid w:val="00A504AE"/>
    <w:rsid w:val="00A50B03"/>
    <w:rsid w:val="00A5587A"/>
    <w:rsid w:val="00A60C9E"/>
    <w:rsid w:val="00A636C7"/>
    <w:rsid w:val="00A67773"/>
    <w:rsid w:val="00A67FCD"/>
    <w:rsid w:val="00A700CF"/>
    <w:rsid w:val="00A709D5"/>
    <w:rsid w:val="00A73D26"/>
    <w:rsid w:val="00A74D00"/>
    <w:rsid w:val="00A75C9A"/>
    <w:rsid w:val="00A80133"/>
    <w:rsid w:val="00A818D3"/>
    <w:rsid w:val="00A828A6"/>
    <w:rsid w:val="00A8436B"/>
    <w:rsid w:val="00A868A1"/>
    <w:rsid w:val="00A90677"/>
    <w:rsid w:val="00A96149"/>
    <w:rsid w:val="00A9620B"/>
    <w:rsid w:val="00AA3CBF"/>
    <w:rsid w:val="00AA6185"/>
    <w:rsid w:val="00AB0ABD"/>
    <w:rsid w:val="00AB0F1B"/>
    <w:rsid w:val="00AC48C5"/>
    <w:rsid w:val="00AC69A4"/>
    <w:rsid w:val="00AC6D7D"/>
    <w:rsid w:val="00AD5C19"/>
    <w:rsid w:val="00AD6C2B"/>
    <w:rsid w:val="00AE18BA"/>
    <w:rsid w:val="00AE1BB4"/>
    <w:rsid w:val="00AE258A"/>
    <w:rsid w:val="00AE51CC"/>
    <w:rsid w:val="00AE5CAB"/>
    <w:rsid w:val="00AF0ECF"/>
    <w:rsid w:val="00B0117F"/>
    <w:rsid w:val="00B0193A"/>
    <w:rsid w:val="00B03A5C"/>
    <w:rsid w:val="00B07515"/>
    <w:rsid w:val="00B101E7"/>
    <w:rsid w:val="00B11DA8"/>
    <w:rsid w:val="00B128A3"/>
    <w:rsid w:val="00B1294E"/>
    <w:rsid w:val="00B2046D"/>
    <w:rsid w:val="00B24362"/>
    <w:rsid w:val="00B3149A"/>
    <w:rsid w:val="00B32725"/>
    <w:rsid w:val="00B37DE2"/>
    <w:rsid w:val="00B51DD5"/>
    <w:rsid w:val="00B55A2F"/>
    <w:rsid w:val="00B61232"/>
    <w:rsid w:val="00B61367"/>
    <w:rsid w:val="00B62DB5"/>
    <w:rsid w:val="00B66212"/>
    <w:rsid w:val="00B66C95"/>
    <w:rsid w:val="00B70A4B"/>
    <w:rsid w:val="00B724ED"/>
    <w:rsid w:val="00B821F2"/>
    <w:rsid w:val="00B8259E"/>
    <w:rsid w:val="00B82E4D"/>
    <w:rsid w:val="00B84D00"/>
    <w:rsid w:val="00B856C4"/>
    <w:rsid w:val="00B859D0"/>
    <w:rsid w:val="00B86021"/>
    <w:rsid w:val="00B90372"/>
    <w:rsid w:val="00B91C56"/>
    <w:rsid w:val="00B920A7"/>
    <w:rsid w:val="00BA1905"/>
    <w:rsid w:val="00BA1EE0"/>
    <w:rsid w:val="00BA368E"/>
    <w:rsid w:val="00BA48AD"/>
    <w:rsid w:val="00BA741A"/>
    <w:rsid w:val="00BB0B0F"/>
    <w:rsid w:val="00BB158B"/>
    <w:rsid w:val="00BB37E7"/>
    <w:rsid w:val="00BB458D"/>
    <w:rsid w:val="00BB68F2"/>
    <w:rsid w:val="00BC03C9"/>
    <w:rsid w:val="00BC16E4"/>
    <w:rsid w:val="00BD1C51"/>
    <w:rsid w:val="00BD3798"/>
    <w:rsid w:val="00BD7E42"/>
    <w:rsid w:val="00BD7EA4"/>
    <w:rsid w:val="00BE1FB1"/>
    <w:rsid w:val="00BE2BCE"/>
    <w:rsid w:val="00BF366C"/>
    <w:rsid w:val="00BF39C1"/>
    <w:rsid w:val="00BF543D"/>
    <w:rsid w:val="00BF6AB7"/>
    <w:rsid w:val="00C0037F"/>
    <w:rsid w:val="00C00CC8"/>
    <w:rsid w:val="00C06E29"/>
    <w:rsid w:val="00C07AE3"/>
    <w:rsid w:val="00C258E0"/>
    <w:rsid w:val="00C26A75"/>
    <w:rsid w:val="00C3006D"/>
    <w:rsid w:val="00C33C6C"/>
    <w:rsid w:val="00C36DED"/>
    <w:rsid w:val="00C40921"/>
    <w:rsid w:val="00C42272"/>
    <w:rsid w:val="00C551D2"/>
    <w:rsid w:val="00C63EBB"/>
    <w:rsid w:val="00C63FE3"/>
    <w:rsid w:val="00C67CAA"/>
    <w:rsid w:val="00C82515"/>
    <w:rsid w:val="00C8466C"/>
    <w:rsid w:val="00C921DD"/>
    <w:rsid w:val="00C92C61"/>
    <w:rsid w:val="00C93BB3"/>
    <w:rsid w:val="00C96E52"/>
    <w:rsid w:val="00CA0242"/>
    <w:rsid w:val="00CA02C1"/>
    <w:rsid w:val="00CA3C59"/>
    <w:rsid w:val="00CA4BAC"/>
    <w:rsid w:val="00CA68DB"/>
    <w:rsid w:val="00CB1F52"/>
    <w:rsid w:val="00CB307A"/>
    <w:rsid w:val="00CB69B3"/>
    <w:rsid w:val="00CB7EDC"/>
    <w:rsid w:val="00CC2E7B"/>
    <w:rsid w:val="00CC3AE1"/>
    <w:rsid w:val="00CC47A8"/>
    <w:rsid w:val="00CD50D1"/>
    <w:rsid w:val="00CD5E19"/>
    <w:rsid w:val="00CD5F4B"/>
    <w:rsid w:val="00CD6AF3"/>
    <w:rsid w:val="00CE047D"/>
    <w:rsid w:val="00CE3A30"/>
    <w:rsid w:val="00CE3BC8"/>
    <w:rsid w:val="00CE45EE"/>
    <w:rsid w:val="00CE45F1"/>
    <w:rsid w:val="00CE4893"/>
    <w:rsid w:val="00CF3F13"/>
    <w:rsid w:val="00CF6E86"/>
    <w:rsid w:val="00D02D3C"/>
    <w:rsid w:val="00D07E2A"/>
    <w:rsid w:val="00D13809"/>
    <w:rsid w:val="00D158A8"/>
    <w:rsid w:val="00D16964"/>
    <w:rsid w:val="00D2725F"/>
    <w:rsid w:val="00D3264F"/>
    <w:rsid w:val="00D47100"/>
    <w:rsid w:val="00D51CCC"/>
    <w:rsid w:val="00D52724"/>
    <w:rsid w:val="00D5297A"/>
    <w:rsid w:val="00D538B0"/>
    <w:rsid w:val="00D6110F"/>
    <w:rsid w:val="00D61543"/>
    <w:rsid w:val="00D62372"/>
    <w:rsid w:val="00D6283C"/>
    <w:rsid w:val="00D6579F"/>
    <w:rsid w:val="00D6724C"/>
    <w:rsid w:val="00D67672"/>
    <w:rsid w:val="00D77C60"/>
    <w:rsid w:val="00D83274"/>
    <w:rsid w:val="00D85313"/>
    <w:rsid w:val="00D935DC"/>
    <w:rsid w:val="00D94E20"/>
    <w:rsid w:val="00D95671"/>
    <w:rsid w:val="00D97585"/>
    <w:rsid w:val="00DA18D4"/>
    <w:rsid w:val="00DA5584"/>
    <w:rsid w:val="00DA59E7"/>
    <w:rsid w:val="00DA6C8E"/>
    <w:rsid w:val="00DB02B5"/>
    <w:rsid w:val="00DB6ED1"/>
    <w:rsid w:val="00DC69D3"/>
    <w:rsid w:val="00DC71A2"/>
    <w:rsid w:val="00DD1972"/>
    <w:rsid w:val="00DD2622"/>
    <w:rsid w:val="00DE34B0"/>
    <w:rsid w:val="00DE3A89"/>
    <w:rsid w:val="00DF11F4"/>
    <w:rsid w:val="00DF3621"/>
    <w:rsid w:val="00DF419E"/>
    <w:rsid w:val="00DF7941"/>
    <w:rsid w:val="00E01B6D"/>
    <w:rsid w:val="00E02AE2"/>
    <w:rsid w:val="00E03F13"/>
    <w:rsid w:val="00E11BA6"/>
    <w:rsid w:val="00E159A1"/>
    <w:rsid w:val="00E17FDE"/>
    <w:rsid w:val="00E2094B"/>
    <w:rsid w:val="00E24E89"/>
    <w:rsid w:val="00E33D7C"/>
    <w:rsid w:val="00E363CD"/>
    <w:rsid w:val="00E4167E"/>
    <w:rsid w:val="00E4356F"/>
    <w:rsid w:val="00E43923"/>
    <w:rsid w:val="00E44B25"/>
    <w:rsid w:val="00E4537F"/>
    <w:rsid w:val="00E45CEF"/>
    <w:rsid w:val="00E4630F"/>
    <w:rsid w:val="00E466CA"/>
    <w:rsid w:val="00E46E9F"/>
    <w:rsid w:val="00E50A72"/>
    <w:rsid w:val="00E525E5"/>
    <w:rsid w:val="00E54CE5"/>
    <w:rsid w:val="00E55129"/>
    <w:rsid w:val="00E55943"/>
    <w:rsid w:val="00E6047F"/>
    <w:rsid w:val="00E607CF"/>
    <w:rsid w:val="00E65B6C"/>
    <w:rsid w:val="00E70AEF"/>
    <w:rsid w:val="00E70F7B"/>
    <w:rsid w:val="00E7229C"/>
    <w:rsid w:val="00E75140"/>
    <w:rsid w:val="00E80C2B"/>
    <w:rsid w:val="00E81C4A"/>
    <w:rsid w:val="00E828DE"/>
    <w:rsid w:val="00E831A5"/>
    <w:rsid w:val="00E85644"/>
    <w:rsid w:val="00E91A61"/>
    <w:rsid w:val="00E930DD"/>
    <w:rsid w:val="00E939E1"/>
    <w:rsid w:val="00E94CEF"/>
    <w:rsid w:val="00E94DDF"/>
    <w:rsid w:val="00EA0AC7"/>
    <w:rsid w:val="00EB06C6"/>
    <w:rsid w:val="00EB61BE"/>
    <w:rsid w:val="00EC01C9"/>
    <w:rsid w:val="00EC103F"/>
    <w:rsid w:val="00ED10C8"/>
    <w:rsid w:val="00ED431E"/>
    <w:rsid w:val="00ED7D75"/>
    <w:rsid w:val="00EE15C2"/>
    <w:rsid w:val="00EE36D8"/>
    <w:rsid w:val="00EF2FE6"/>
    <w:rsid w:val="00F00109"/>
    <w:rsid w:val="00F03D34"/>
    <w:rsid w:val="00F11AF0"/>
    <w:rsid w:val="00F13D5C"/>
    <w:rsid w:val="00F1472A"/>
    <w:rsid w:val="00F2041C"/>
    <w:rsid w:val="00F316A4"/>
    <w:rsid w:val="00F32C02"/>
    <w:rsid w:val="00F338C1"/>
    <w:rsid w:val="00F34152"/>
    <w:rsid w:val="00F37EFD"/>
    <w:rsid w:val="00F50571"/>
    <w:rsid w:val="00F5545B"/>
    <w:rsid w:val="00F61772"/>
    <w:rsid w:val="00F7212F"/>
    <w:rsid w:val="00F73927"/>
    <w:rsid w:val="00F800E8"/>
    <w:rsid w:val="00F8149C"/>
    <w:rsid w:val="00F83B72"/>
    <w:rsid w:val="00F84BA9"/>
    <w:rsid w:val="00F901D4"/>
    <w:rsid w:val="00F92C59"/>
    <w:rsid w:val="00F96836"/>
    <w:rsid w:val="00FA622D"/>
    <w:rsid w:val="00FA7F27"/>
    <w:rsid w:val="00FB31D7"/>
    <w:rsid w:val="00FB325E"/>
    <w:rsid w:val="00FB5968"/>
    <w:rsid w:val="00FB7536"/>
    <w:rsid w:val="00FC1B2C"/>
    <w:rsid w:val="00FC2104"/>
    <w:rsid w:val="00FC58EB"/>
    <w:rsid w:val="00FC63A1"/>
    <w:rsid w:val="00FD0411"/>
    <w:rsid w:val="00FD276F"/>
    <w:rsid w:val="00FD403C"/>
    <w:rsid w:val="00FE150A"/>
    <w:rsid w:val="00FE32E4"/>
    <w:rsid w:val="00FE43FD"/>
    <w:rsid w:val="00FF3226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5:docId w15:val="{B933C74F-DC41-48AF-9298-C2BDBED0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7528B4"/>
    <w:pPr>
      <w:keepNext/>
      <w:keepLines/>
      <w:suppressAutoHyphens/>
      <w:spacing w:after="0" w:line="240" w:lineRule="auto"/>
      <w:contextualSpacing/>
      <w:outlineLvl w:val="0"/>
    </w:pPr>
    <w:rPr>
      <w:rFonts w:eastAsiaTheme="majorEastAsia" w:cstheme="majorBidi"/>
      <w:b/>
      <w:caps/>
      <w:color w:val="365F91" w:themeColor="accent1" w:themeShade="BF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773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365F91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n,single space,FOOTNOTES,Footnote Text Char Char Char Char Char Char,stile 1,Testo_note,Testo_note1,Testo_note2,Footnote Text Char1,Footnote Text Char3 Char,Footnote Text Char2 Char Char,Footnote,Fußnote,FSR footnote,lábléc,footnote text"/>
    <w:basedOn w:val="a"/>
    <w:link w:val="a4"/>
    <w:uiPriority w:val="99"/>
    <w:unhideWhenUsed/>
    <w:qFormat/>
    <w:rsid w:val="00D2725F"/>
    <w:pPr>
      <w:spacing w:after="0" w:line="240" w:lineRule="auto"/>
    </w:pPr>
  </w:style>
  <w:style w:type="character" w:customStyle="1" w:styleId="a4">
    <w:name w:val="Текст сноски Знак"/>
    <w:aliases w:val="fn Знак,single space Знак,FOOTNOTES Знак,Footnote Text Char Char Char Char Char Char Знак,stile 1 Знак,Testo_note Знак,Testo_note1 Знак,Testo_note2 Знак,Footnote Text Char1 Знак,Footnote Text Char3 Char Знак,Footnote Знак,Fußnote Знак"/>
    <w:basedOn w:val="a0"/>
    <w:link w:val="a3"/>
    <w:uiPriority w:val="99"/>
    <w:rsid w:val="00D2725F"/>
    <w:rPr>
      <w:sz w:val="20"/>
      <w:szCs w:val="20"/>
    </w:rPr>
  </w:style>
  <w:style w:type="character" w:styleId="a5">
    <w:name w:val="footnote reference"/>
    <w:aliases w:val="fr,Footnote Reference Number,Footnote Reference_LVL6,Footnote Reference_LVL61,Footnote Reference_LVL62,Footnote Reference_LVL63,Footnote Reference_LVL64,C26 Footnote Number,Footnote symbol,Footnote Reference_LVL65,SUPERS,number,ftref,FZ"/>
    <w:basedOn w:val="a0"/>
    <w:uiPriority w:val="99"/>
    <w:unhideWhenUsed/>
    <w:rsid w:val="00D2725F"/>
    <w:rPr>
      <w:vertAlign w:val="superscript"/>
    </w:rPr>
  </w:style>
  <w:style w:type="paragraph" w:styleId="a6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7"/>
    <w:uiPriority w:val="34"/>
    <w:qFormat/>
    <w:rsid w:val="007D1A98"/>
    <w:pPr>
      <w:ind w:left="720"/>
      <w:contextualSpacing/>
    </w:pPr>
    <w:rPr>
      <w:rFonts w:ascii="Calibri" w:eastAsia="Times New Roman" w:hAnsi="Calibri"/>
      <w:lang w:eastAsia="ru-RU"/>
    </w:rPr>
  </w:style>
  <w:style w:type="character" w:customStyle="1" w:styleId="hps">
    <w:name w:val="hps"/>
    <w:basedOn w:val="a0"/>
    <w:uiPriority w:val="99"/>
    <w:rsid w:val="007D1A98"/>
    <w:rPr>
      <w:rFonts w:cs="Times New Roman"/>
    </w:rPr>
  </w:style>
  <w:style w:type="paragraph" w:styleId="a8">
    <w:name w:val="header"/>
    <w:basedOn w:val="a"/>
    <w:link w:val="a9"/>
    <w:uiPriority w:val="99"/>
    <w:rsid w:val="007D1A98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D1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DF419E"/>
    <w:pPr>
      <w:spacing w:after="0" w:line="360" w:lineRule="auto"/>
      <w:ind w:firstLine="348"/>
      <w:jc w:val="both"/>
    </w:pPr>
    <w:rPr>
      <w:rFonts w:eastAsia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F41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09B"/>
  </w:style>
  <w:style w:type="paragraph" w:customStyle="1" w:styleId="ConsPlusTitle">
    <w:name w:val="ConsPlusTitle"/>
    <w:uiPriority w:val="99"/>
    <w:rsid w:val="00882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ConsPlusNormal">
    <w:name w:val="ConsPlusNormal"/>
    <w:rsid w:val="00CE0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258E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258E0"/>
  </w:style>
  <w:style w:type="character" w:styleId="ac">
    <w:name w:val="Hyperlink"/>
    <w:basedOn w:val="a0"/>
    <w:uiPriority w:val="99"/>
    <w:unhideWhenUsed/>
    <w:rsid w:val="0020631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E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4A8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7528B4"/>
    <w:rPr>
      <w:rFonts w:ascii="Times New Roman" w:eastAsiaTheme="majorEastAsia" w:hAnsi="Times New Roman" w:cstheme="majorBidi"/>
      <w:b/>
      <w:caps/>
      <w:color w:val="365F91" w:themeColor="accent1" w:themeShade="BF"/>
      <w:sz w:val="36"/>
      <w:szCs w:val="32"/>
    </w:rPr>
  </w:style>
  <w:style w:type="paragraph" w:styleId="af">
    <w:name w:val="No Spacing"/>
    <w:uiPriority w:val="1"/>
    <w:qFormat/>
    <w:rsid w:val="00657613"/>
    <w:pPr>
      <w:spacing w:after="0" w:line="240" w:lineRule="auto"/>
    </w:pPr>
  </w:style>
  <w:style w:type="paragraph" w:styleId="af0">
    <w:name w:val="TOC Heading"/>
    <w:basedOn w:val="10"/>
    <w:next w:val="a"/>
    <w:uiPriority w:val="39"/>
    <w:unhideWhenUsed/>
    <w:qFormat/>
    <w:rsid w:val="007A67EF"/>
    <w:pPr>
      <w:spacing w:before="240" w:line="259" w:lineRule="auto"/>
      <w:contextualSpacing w:val="0"/>
      <w:outlineLvl w:val="9"/>
    </w:pPr>
    <w:rPr>
      <w:rFonts w:asciiTheme="majorHAnsi" w:hAnsiTheme="majorHAnsi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25549"/>
    <w:pPr>
      <w:tabs>
        <w:tab w:val="right" w:leader="dot" w:pos="8647"/>
      </w:tabs>
      <w:spacing w:after="100"/>
      <w:ind w:left="1134" w:right="1134"/>
    </w:pPr>
  </w:style>
  <w:style w:type="paragraph" w:styleId="af1">
    <w:name w:val="Body Text"/>
    <w:basedOn w:val="a"/>
    <w:link w:val="af2"/>
    <w:uiPriority w:val="99"/>
    <w:semiHidden/>
    <w:unhideWhenUsed/>
    <w:rsid w:val="00B82E4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82E4D"/>
  </w:style>
  <w:style w:type="table" w:styleId="af3">
    <w:name w:val="Table Grid"/>
    <w:basedOn w:val="a1"/>
    <w:uiPriority w:val="59"/>
    <w:rsid w:val="0092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37734"/>
    <w:rPr>
      <w:rFonts w:ascii="Times New Roman" w:eastAsiaTheme="majorEastAsia" w:hAnsi="Times New Roman" w:cstheme="majorBidi"/>
      <w:b/>
      <w:color w:val="365F91" w:themeColor="accent1" w:themeShade="BF"/>
      <w:sz w:val="32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8935BD"/>
    <w:pPr>
      <w:spacing w:after="100"/>
      <w:ind w:left="220"/>
    </w:pPr>
  </w:style>
  <w:style w:type="paragraph" w:styleId="af4">
    <w:name w:val="Normal (Web)"/>
    <w:basedOn w:val="a"/>
    <w:uiPriority w:val="99"/>
    <w:unhideWhenUsed/>
    <w:rsid w:val="00BA36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44B2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44B25"/>
    <w:pPr>
      <w:spacing w:line="240" w:lineRule="auto"/>
    </w:pPr>
  </w:style>
  <w:style w:type="character" w:customStyle="1" w:styleId="af7">
    <w:name w:val="Текст примечания Знак"/>
    <w:basedOn w:val="a0"/>
    <w:link w:val="af6"/>
    <w:uiPriority w:val="99"/>
    <w:semiHidden/>
    <w:rsid w:val="00E44B2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44B2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44B25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E44B25"/>
    <w:pPr>
      <w:spacing w:after="0" w:line="240" w:lineRule="auto"/>
    </w:pPr>
  </w:style>
  <w:style w:type="paragraph" w:customStyle="1" w:styleId="Default">
    <w:name w:val="Default"/>
    <w:rsid w:val="00AC6D7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fb">
    <w:name w:val="Subtitle"/>
    <w:basedOn w:val="a"/>
    <w:next w:val="a"/>
    <w:link w:val="afc"/>
    <w:uiPriority w:val="11"/>
    <w:qFormat/>
    <w:rsid w:val="00E60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E60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basedOn w:val="a0"/>
    <w:link w:val="a6"/>
    <w:qFormat/>
    <w:locked/>
    <w:rsid w:val="0033656B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F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">
    <w:name w:val="Нумерованный список1"/>
    <w:basedOn w:val="a"/>
    <w:uiPriority w:val="1"/>
    <w:unhideWhenUsed/>
    <w:qFormat/>
    <w:rsid w:val="0003723C"/>
    <w:pPr>
      <w:numPr>
        <w:numId w:val="41"/>
      </w:numPr>
      <w:spacing w:before="40" w:after="160" w:line="288" w:lineRule="auto"/>
      <w:contextualSpacing/>
    </w:pPr>
    <w:rPr>
      <w:color w:val="595959" w:themeColor="text1" w:themeTint="A6"/>
      <w:kern w:val="20"/>
      <w:lang w:eastAsia="ru-RU"/>
    </w:rPr>
  </w:style>
  <w:style w:type="paragraph" w:customStyle="1" w:styleId="21">
    <w:name w:val="Нумерованный список 21"/>
    <w:basedOn w:val="a"/>
    <w:uiPriority w:val="1"/>
    <w:unhideWhenUsed/>
    <w:qFormat/>
    <w:rsid w:val="0003723C"/>
    <w:pPr>
      <w:numPr>
        <w:ilvl w:val="1"/>
        <w:numId w:val="41"/>
      </w:numPr>
      <w:spacing w:before="40" w:after="160" w:line="288" w:lineRule="auto"/>
      <w:contextualSpacing/>
    </w:pPr>
    <w:rPr>
      <w:color w:val="595959" w:themeColor="text1" w:themeTint="A6"/>
      <w:kern w:val="20"/>
      <w:lang w:eastAsia="ru-RU"/>
    </w:rPr>
  </w:style>
  <w:style w:type="paragraph" w:customStyle="1" w:styleId="31">
    <w:name w:val="Нумерованный список 31"/>
    <w:basedOn w:val="a"/>
    <w:uiPriority w:val="18"/>
    <w:unhideWhenUsed/>
    <w:rsid w:val="0003723C"/>
    <w:pPr>
      <w:numPr>
        <w:ilvl w:val="2"/>
        <w:numId w:val="41"/>
      </w:numPr>
      <w:spacing w:before="40" w:after="160" w:line="288" w:lineRule="auto"/>
      <w:contextualSpacing/>
    </w:pPr>
    <w:rPr>
      <w:color w:val="595959" w:themeColor="text1" w:themeTint="A6"/>
      <w:kern w:val="20"/>
      <w:lang w:eastAsia="ru-RU"/>
    </w:rPr>
  </w:style>
  <w:style w:type="paragraph" w:customStyle="1" w:styleId="41">
    <w:name w:val="Нумерованный список 41"/>
    <w:basedOn w:val="a"/>
    <w:uiPriority w:val="18"/>
    <w:unhideWhenUsed/>
    <w:rsid w:val="0003723C"/>
    <w:pPr>
      <w:numPr>
        <w:ilvl w:val="3"/>
        <w:numId w:val="41"/>
      </w:numPr>
      <w:spacing w:before="40" w:after="160" w:line="288" w:lineRule="auto"/>
      <w:contextualSpacing/>
    </w:pPr>
    <w:rPr>
      <w:color w:val="595959" w:themeColor="text1" w:themeTint="A6"/>
      <w:kern w:val="20"/>
      <w:lang w:eastAsia="ru-RU"/>
    </w:rPr>
  </w:style>
  <w:style w:type="paragraph" w:customStyle="1" w:styleId="51">
    <w:name w:val="Нумерованный список 51"/>
    <w:basedOn w:val="a"/>
    <w:uiPriority w:val="18"/>
    <w:unhideWhenUsed/>
    <w:rsid w:val="0003723C"/>
    <w:pPr>
      <w:numPr>
        <w:ilvl w:val="4"/>
        <w:numId w:val="41"/>
      </w:numPr>
      <w:spacing w:before="40" w:after="160" w:line="288" w:lineRule="auto"/>
      <w:contextualSpacing/>
    </w:pPr>
    <w:rPr>
      <w:color w:val="595959" w:themeColor="text1" w:themeTint="A6"/>
      <w:kern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hart" Target="charts/chart1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2B298ACC28917AFEDB80D19FBF6383E848C54849C6D7E47F166CCEC2DFAC5B8B2AF1E5585CF1119309CF4C6314BB72494B31C36F4A1FC161QFO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header" Target="header4.xml"/><Relationship Id="rId33" Type="http://schemas.openxmlformats.org/officeDocument/2006/relationships/header" Target="header1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hart" Target="charts/chart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32" Type="http://schemas.openxmlformats.org/officeDocument/2006/relationships/header" Target="header10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2.xml"/><Relationship Id="rId28" Type="http://schemas.openxmlformats.org/officeDocument/2006/relationships/header" Target="header7.xml"/><Relationship Id="rId36" Type="http://schemas.openxmlformats.org/officeDocument/2006/relationships/footer" Target="footer9.xml"/><Relationship Id="rId10" Type="http://schemas.microsoft.com/office/2007/relationships/hdphoto" Target="media/hdphoto1.wdp"/><Relationship Id="rId19" Type="http://schemas.openxmlformats.org/officeDocument/2006/relationships/chart" Target="charts/chart2.xml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consultantplus://offline/ref=1B2B298ACC28917AFEDB80D19FBF6383E941C64941CDD7E47F166CCEC2DFAC5B8B2AF1E5585EF7139609CF4C6314BB72494B31C36F4A1FC161QFO" TargetMode="External"/><Relationship Id="rId27" Type="http://schemas.openxmlformats.org/officeDocument/2006/relationships/header" Target="header6.xml"/><Relationship Id="rId30" Type="http://schemas.openxmlformats.org/officeDocument/2006/relationships/header" Target="header9.xml"/><Relationship Id="rId35" Type="http://schemas.openxmlformats.org/officeDocument/2006/relationships/footer" Target="footer8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achevatb\AppData\Local\Temp\&#1055;&#1088;&#1080;&#1083;&#1086;&#1078;&#1077;&#1085;&#1080;&#1077;%2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Распределение сектора по федеральным округам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114702365261105E-2"/>
          <c:y val="0.27732694027771665"/>
          <c:w val="0.81388888888888888"/>
          <c:h val="0.5784609215514727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ЦФО</c:v>
                </c:pt>
                <c:pt idx="1">
                  <c:v>СЗФО</c:v>
                </c:pt>
                <c:pt idx="2">
                  <c:v>ПФО</c:v>
                </c:pt>
                <c:pt idx="3">
                  <c:v>СФО</c:v>
                </c:pt>
                <c:pt idx="4">
                  <c:v>УФО</c:v>
                </c:pt>
                <c:pt idx="5">
                  <c:v>ЮФО</c:v>
                </c:pt>
                <c:pt idx="6">
                  <c:v>СКФО</c:v>
                </c:pt>
                <c:pt idx="7">
                  <c:v>ДФО</c:v>
                </c:pt>
                <c:pt idx="8">
                  <c:v>РКиС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2157</c:v>
                </c:pt>
                <c:pt idx="1">
                  <c:v>1252</c:v>
                </c:pt>
                <c:pt idx="2">
                  <c:v>1565</c:v>
                </c:pt>
                <c:pt idx="3">
                  <c:v>1354</c:v>
                </c:pt>
                <c:pt idx="4">
                  <c:v>1362</c:v>
                </c:pt>
                <c:pt idx="5">
                  <c:v>1332</c:v>
                </c:pt>
                <c:pt idx="6">
                  <c:v>310</c:v>
                </c:pt>
                <c:pt idx="7">
                  <c:v>558</c:v>
                </c:pt>
                <c:pt idx="8">
                  <c:v>350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0541872598837891"/>
          <c:y val="6.818281318074107E-2"/>
          <c:w val="8.293418093193558E-2"/>
          <c:h val="0.846359994474375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Сегментация сектора по  форме предпринимательской деятельности   </a:t>
            </a:r>
          </a:p>
        </c:rich>
      </c:tx>
      <c:layout>
        <c:manualLayout>
          <c:xMode val="edge"/>
          <c:yMode val="edge"/>
          <c:x val="0.13722498279948017"/>
          <c:y val="5.198030021528208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Лист2!$K$21:$K$22</c:f>
              <c:strCache>
                <c:ptCount val="2"/>
                <c:pt idx="0">
                  <c:v>Организации</c:v>
                </c:pt>
                <c:pt idx="1">
                  <c:v>ИП</c:v>
                </c:pt>
              </c:strCache>
            </c:strRef>
          </c:cat>
          <c:val>
            <c:numRef>
              <c:f>Лист2!$L$21:$L$22</c:f>
              <c:numCache>
                <c:formatCode>0%</c:formatCode>
                <c:ptCount val="2"/>
                <c:pt idx="0">
                  <c:v>0.72</c:v>
                </c:pt>
                <c:pt idx="1">
                  <c:v>0.28000000000000003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Сегментация сектора по сопровождению сделок купли/продажи жилья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Лист1!$H$2:$H$4</c:f>
              <c:strCache>
                <c:ptCount val="3"/>
                <c:pt idx="0">
                  <c:v>типовое жилье</c:v>
                </c:pt>
                <c:pt idx="1">
                  <c:v>жилье повшенного качества</c:v>
                </c:pt>
                <c:pt idx="2">
                  <c:v>элитное жилье</c:v>
                </c:pt>
              </c:strCache>
            </c:strRef>
          </c:cat>
          <c:val>
            <c:numRef>
              <c:f>Лист1!$I$2:$I$4</c:f>
              <c:numCache>
                <c:formatCode>0%</c:formatCode>
                <c:ptCount val="3"/>
                <c:pt idx="0">
                  <c:v>0.85</c:v>
                </c:pt>
                <c:pt idx="1">
                  <c:v>0.13</c:v>
                </c:pt>
                <c:pt idx="2">
                  <c:v>0.02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66CD-DAC5-4B44-9742-A0979AD9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2631</Words>
  <Characters>14998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Шоломицкая Ольга Александровна</cp:lastModifiedBy>
  <cp:revision>2</cp:revision>
  <cp:lastPrinted>2018-11-20T06:50:00Z</cp:lastPrinted>
  <dcterms:created xsi:type="dcterms:W3CDTF">2019-02-05T11:54:00Z</dcterms:created>
  <dcterms:modified xsi:type="dcterms:W3CDTF">2019-02-05T11:54:00Z</dcterms:modified>
</cp:coreProperties>
</file>